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0053" w14:textId="77777777" w:rsidR="00D567D5" w:rsidRPr="00EC612A" w:rsidRDefault="004C57BD" w:rsidP="000475AD">
      <w:pPr>
        <w:tabs>
          <w:tab w:val="left" w:pos="1440"/>
          <w:tab w:val="left" w:pos="2160"/>
          <w:tab w:val="left" w:pos="2880"/>
        </w:tabs>
        <w:spacing w:line="360" w:lineRule="auto"/>
        <w:jc w:val="center"/>
        <w:rPr>
          <w:rFonts w:ascii="Book Antiqua" w:hAnsi="Book Antiqua" w:cs="TimesNewRomanPSMT"/>
          <w:b/>
          <w:sz w:val="28"/>
          <w:szCs w:val="28"/>
        </w:rPr>
      </w:pPr>
      <w:r w:rsidRPr="00EC612A">
        <w:rPr>
          <w:rFonts w:ascii="Book Antiqua" w:hAnsi="Book Antiqua" w:cs="TimesNewRomanPSMT"/>
          <w:b/>
          <w:sz w:val="28"/>
          <w:szCs w:val="28"/>
        </w:rPr>
        <w:t>What is White Ignorance?</w:t>
      </w:r>
    </w:p>
    <w:p w14:paraId="11BB37AA" w14:textId="142ED394" w:rsidR="000475AD" w:rsidRPr="00EC612A" w:rsidRDefault="000475AD" w:rsidP="000475AD">
      <w:pPr>
        <w:tabs>
          <w:tab w:val="left" w:pos="1440"/>
          <w:tab w:val="left" w:pos="2160"/>
          <w:tab w:val="left" w:pos="2880"/>
        </w:tabs>
        <w:spacing w:line="360" w:lineRule="auto"/>
        <w:jc w:val="center"/>
        <w:rPr>
          <w:rFonts w:ascii="Book Antiqua" w:hAnsi="Book Antiqua" w:cs="TimesNewRomanPSMT"/>
          <w:b/>
          <w:sz w:val="24"/>
          <w:szCs w:val="24"/>
        </w:rPr>
      </w:pPr>
      <w:r w:rsidRPr="00EC612A">
        <w:rPr>
          <w:rFonts w:ascii="Book Antiqua" w:hAnsi="Book Antiqua" w:cs="TimesNewRomanPSMT"/>
          <w:b/>
          <w:sz w:val="24"/>
          <w:szCs w:val="24"/>
        </w:rPr>
        <w:t>Annette Martín</w:t>
      </w:r>
    </w:p>
    <w:p w14:paraId="3FF21A23" w14:textId="77777777" w:rsidR="00EC612A" w:rsidRDefault="00EC612A" w:rsidP="00EC612A">
      <w:pPr>
        <w:tabs>
          <w:tab w:val="left" w:pos="1440"/>
          <w:tab w:val="left" w:pos="2160"/>
          <w:tab w:val="left" w:pos="2880"/>
        </w:tabs>
        <w:rPr>
          <w:rFonts w:ascii="Book Antiqua" w:hAnsi="Book Antiqua" w:cs="TimesNewRomanPSMT"/>
          <w:b/>
          <w:sz w:val="24"/>
          <w:szCs w:val="24"/>
        </w:rPr>
      </w:pPr>
    </w:p>
    <w:p w14:paraId="4254A2B1" w14:textId="2E136B73" w:rsidR="00EC612A" w:rsidRPr="00EC612A" w:rsidRDefault="00EC612A" w:rsidP="00BD2299">
      <w:pPr>
        <w:tabs>
          <w:tab w:val="left" w:pos="1440"/>
          <w:tab w:val="left" w:pos="2160"/>
          <w:tab w:val="left" w:pos="2880"/>
        </w:tabs>
        <w:rPr>
          <w:rFonts w:ascii="Book Antiqua" w:hAnsi="Book Antiqua" w:cs="TimesNewRomanPSMT"/>
          <w:b/>
          <w:sz w:val="24"/>
          <w:szCs w:val="24"/>
        </w:rPr>
      </w:pPr>
      <w:r w:rsidRPr="00EC612A">
        <w:rPr>
          <w:rFonts w:ascii="Book Antiqua" w:hAnsi="Book Antiqua" w:cs="TimesNewRomanPSMT"/>
          <w:b/>
          <w:sz w:val="24"/>
          <w:szCs w:val="24"/>
        </w:rPr>
        <w:t>Abstract:</w:t>
      </w:r>
      <w:r w:rsidRPr="00EC612A">
        <w:rPr>
          <w:rFonts w:ascii="Book Antiqua" w:hAnsi="Book Antiqua" w:cs="TimesNewRomanPSMT"/>
          <w:sz w:val="24"/>
          <w:szCs w:val="24"/>
        </w:rPr>
        <w:t xml:space="preserve"> </w:t>
      </w:r>
      <w:r>
        <w:rPr>
          <w:rFonts w:ascii="Book Antiqua" w:hAnsi="Book Antiqua" w:cs="TimesNewRomanPSMT"/>
          <w:sz w:val="24"/>
          <w:szCs w:val="24"/>
        </w:rPr>
        <w:t>Ignorance about race and racial injustice not only abounds, but also plausibly plays an important role in sustaining systemic racial injustice. Epistemologists have coined the term ‘white ignorance’ to refer to this phenomenon, but as of yet there is no clear account of what, exactly, wh</w:t>
      </w:r>
      <w:r w:rsidR="00BD2299">
        <w:rPr>
          <w:rFonts w:ascii="Book Antiqua" w:hAnsi="Book Antiqua" w:cs="TimesNewRomanPSMT"/>
          <w:sz w:val="24"/>
          <w:szCs w:val="24"/>
        </w:rPr>
        <w:t>ite ignorance is supposed to be.</w:t>
      </w:r>
      <w:r>
        <w:rPr>
          <w:rFonts w:ascii="Book Antiqua" w:hAnsi="Book Antiqua" w:cs="TimesNewRomanPSMT"/>
          <w:sz w:val="24"/>
          <w:szCs w:val="24"/>
        </w:rPr>
        <w:t xml:space="preserve"> </w:t>
      </w:r>
      <w:r w:rsidRPr="00EC612A">
        <w:rPr>
          <w:rFonts w:ascii="Book Antiqua" w:hAnsi="Book Antiqua" w:cs="TimesNewRomanPSMT"/>
          <w:sz w:val="24"/>
          <w:szCs w:val="24"/>
        </w:rPr>
        <w:t xml:space="preserve">In this paper, I </w:t>
      </w:r>
      <w:r w:rsidR="00BD2299">
        <w:rPr>
          <w:rFonts w:ascii="Book Antiqua" w:hAnsi="Book Antiqua" w:cs="TimesNewRomanPSMT"/>
          <w:sz w:val="24"/>
          <w:szCs w:val="24"/>
        </w:rPr>
        <w:t xml:space="preserve">present </w:t>
      </w:r>
      <w:r w:rsidRPr="00EC612A">
        <w:rPr>
          <w:rFonts w:ascii="Book Antiqua" w:hAnsi="Book Antiqua" w:cs="TimesNewRomanPSMT"/>
          <w:sz w:val="24"/>
          <w:szCs w:val="24"/>
        </w:rPr>
        <w:t xml:space="preserve">three alternative accounts of white ignorance, and assess how well each fulfills </w:t>
      </w:r>
      <w:r w:rsidR="00BD2299">
        <w:rPr>
          <w:rFonts w:ascii="Book Antiqua" w:hAnsi="Book Antiqua" w:cs="TimesNewRomanPSMT"/>
          <w:sz w:val="24"/>
          <w:szCs w:val="24"/>
        </w:rPr>
        <w:t xml:space="preserve">key desiderata. </w:t>
      </w:r>
      <w:r w:rsidRPr="00EC612A">
        <w:rPr>
          <w:rFonts w:ascii="Book Antiqua" w:hAnsi="Book Antiqua" w:cs="TimesNewRomanPSMT"/>
          <w:sz w:val="24"/>
          <w:szCs w:val="24"/>
        </w:rPr>
        <w:t xml:space="preserve">On the </w:t>
      </w:r>
      <w:r w:rsidR="00BD2299">
        <w:rPr>
          <w:rFonts w:ascii="Book Antiqua" w:hAnsi="Book Antiqua" w:cs="TimesNewRomanPSMT"/>
          <w:sz w:val="24"/>
          <w:szCs w:val="24"/>
        </w:rPr>
        <w:t>first and most intuitive view,</w:t>
      </w:r>
      <w:r w:rsidRPr="00EC612A">
        <w:rPr>
          <w:rFonts w:ascii="Book Antiqua" w:hAnsi="Book Antiqua" w:cs="TimesNewRomanPSMT"/>
          <w:sz w:val="24"/>
          <w:szCs w:val="24"/>
        </w:rPr>
        <w:t xml:space="preserve"> white ignorance refers to white individuals’ willful ignorance about racial injustice. On the </w:t>
      </w:r>
      <w:r w:rsidR="00BD2299">
        <w:rPr>
          <w:rFonts w:ascii="Book Antiqua" w:hAnsi="Book Antiqua" w:cs="TimesNewRomanPSMT"/>
          <w:sz w:val="24"/>
          <w:szCs w:val="24"/>
        </w:rPr>
        <w:t>second and seemingly most popular view in the literature</w:t>
      </w:r>
      <w:r w:rsidRPr="00EC612A">
        <w:rPr>
          <w:rFonts w:ascii="Book Antiqua" w:hAnsi="Book Antiqua" w:cs="TimesNewRomanPSMT"/>
          <w:sz w:val="24"/>
          <w:szCs w:val="24"/>
        </w:rPr>
        <w:t xml:space="preserve">, white ignorance refers to ignorance resulting from social practices that distribute faulty cognitive resources. </w:t>
      </w:r>
      <w:r w:rsidR="00BD2299">
        <w:rPr>
          <w:rFonts w:ascii="Book Antiqua" w:hAnsi="Book Antiqua" w:cs="TimesNewRomanPSMT"/>
          <w:sz w:val="24"/>
          <w:szCs w:val="24"/>
        </w:rPr>
        <w:t>I show that both of these views are objectionably narrow, and develop a third view, the Structuralist View. On this view,</w:t>
      </w:r>
      <w:r w:rsidRPr="00EC612A">
        <w:rPr>
          <w:rFonts w:ascii="Book Antiqua" w:hAnsi="Book Antiqua" w:cs="TimesNewRomanPSMT"/>
          <w:sz w:val="24"/>
          <w:szCs w:val="24"/>
        </w:rPr>
        <w:t xml:space="preserve"> white ignorance refers to ignorance that (1) results as part of a social process that systematically gives rise to racial injustice and ignorance of this kind, and (2) is an active player in the process. I argue that, because of its greater power and flexibility, the Structuralist View better explains the patterns of ignorance that we observe, better illuminates the connection to white racial domination, and is overall better suited to the project of ameliorating racial injustice. </w:t>
      </w:r>
    </w:p>
    <w:p w14:paraId="66463EFC" w14:textId="77777777" w:rsidR="00EC612A" w:rsidRPr="00EC612A" w:rsidRDefault="00EC612A" w:rsidP="000475AD">
      <w:pPr>
        <w:tabs>
          <w:tab w:val="left" w:pos="1440"/>
          <w:tab w:val="left" w:pos="2160"/>
          <w:tab w:val="left" w:pos="2880"/>
        </w:tabs>
        <w:spacing w:line="360" w:lineRule="auto"/>
        <w:rPr>
          <w:rFonts w:ascii="Book Antiqua" w:hAnsi="Book Antiqua" w:cs="TimesNewRomanPSMT"/>
          <w:sz w:val="24"/>
          <w:szCs w:val="24"/>
        </w:rPr>
      </w:pPr>
    </w:p>
    <w:p w14:paraId="1EBEA86E" w14:textId="01040187" w:rsidR="00D567D5" w:rsidRPr="00EC612A" w:rsidRDefault="004C57BD" w:rsidP="000475AD">
      <w:pPr>
        <w:tabs>
          <w:tab w:val="left" w:pos="1440"/>
          <w:tab w:val="left" w:pos="2160"/>
          <w:tab w:val="left" w:pos="2880"/>
        </w:tabs>
        <w:spacing w:line="360" w:lineRule="auto"/>
        <w:rPr>
          <w:rFonts w:ascii="Book Antiqua" w:hAnsi="Book Antiqua" w:cs="TimesNewRomanPSMT"/>
          <w:b/>
          <w:sz w:val="24"/>
          <w:szCs w:val="24"/>
        </w:rPr>
      </w:pPr>
      <w:r w:rsidRPr="00EC612A">
        <w:rPr>
          <w:rFonts w:ascii="Book Antiqua" w:hAnsi="Book Antiqua" w:cs="TimesNewRomanPSMT"/>
          <w:b/>
          <w:sz w:val="24"/>
          <w:szCs w:val="24"/>
        </w:rPr>
        <w:t>Introduction</w:t>
      </w:r>
    </w:p>
    <w:p w14:paraId="13503E42"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There appears to be a considerable gap between Americans’ perceptions of racial injustice and the reality of racial injustice in the United States today. Only 61% of white Americans agree that Blacks are treated less fairly than whites by the criminal justice system, despite evidence suggesting that Black Americans are more likely to be stopped, searched, handcuffed, and arrested than white Americans, and more likely to receive harsher sentences for similar crimes.</w:t>
      </w:r>
      <w:r w:rsidRPr="00EC612A">
        <w:rPr>
          <w:rFonts w:ascii="Book Antiqua" w:hAnsi="Book Antiqua" w:cs="TimesNewRomanPSMT"/>
          <w:sz w:val="24"/>
          <w:szCs w:val="24"/>
          <w:vertAlign w:val="superscript"/>
        </w:rPr>
        <w:footnoteReference w:id="1"/>
      </w:r>
      <w:r w:rsidRPr="00EC612A">
        <w:rPr>
          <w:rFonts w:ascii="Book Antiqua" w:hAnsi="Book Antiqua" w:cs="TimesNewRomanPSMT"/>
          <w:sz w:val="24"/>
          <w:szCs w:val="24"/>
        </w:rPr>
        <w:t xml:space="preserve"> In the financial domain, respondents estimated that Black families earn $85 for every $100 that white American families earn, and hold $85 for every $100 that white families hold in family wealth.</w:t>
      </w:r>
      <w:r w:rsidRPr="00EC612A">
        <w:rPr>
          <w:rFonts w:ascii="Book Antiqua" w:hAnsi="Book Antiqua" w:cs="TimesNewRomanPSMT"/>
          <w:sz w:val="24"/>
          <w:szCs w:val="24"/>
          <w:vertAlign w:val="superscript"/>
        </w:rPr>
        <w:footnoteReference w:id="2"/>
      </w:r>
      <w:r w:rsidRPr="00EC612A">
        <w:rPr>
          <w:rFonts w:ascii="Book Antiqua" w:hAnsi="Book Antiqua" w:cs="TimesNewRomanPSMT"/>
          <w:sz w:val="24"/>
          <w:szCs w:val="24"/>
        </w:rPr>
        <w:t xml:space="preserve"> In reality, the gap is much larger: Black families only earn $57.30 for every $100 earned by white </w:t>
      </w:r>
      <w:r w:rsidRPr="00EC612A">
        <w:rPr>
          <w:rFonts w:ascii="Book Antiqua" w:hAnsi="Book Antiqua" w:cs="TimesNewRomanPSMT"/>
          <w:sz w:val="24"/>
          <w:szCs w:val="24"/>
        </w:rPr>
        <w:lastRenderedPageBreak/>
        <w:t>families, and hold just $5 for every $100 in white family wealth.</w:t>
      </w:r>
      <w:r w:rsidRPr="00EC612A">
        <w:rPr>
          <w:rFonts w:ascii="Book Antiqua" w:hAnsi="Book Antiqua" w:cs="TimesNewRomanPSMT"/>
          <w:sz w:val="24"/>
          <w:szCs w:val="24"/>
          <w:vertAlign w:val="superscript"/>
        </w:rPr>
        <w:footnoteReference w:id="3"/>
      </w:r>
      <w:r w:rsidRPr="00EC612A">
        <w:rPr>
          <w:rFonts w:ascii="Book Antiqua" w:hAnsi="Book Antiqua" w:cs="TimesNewRomanPSMT"/>
          <w:sz w:val="24"/>
          <w:szCs w:val="24"/>
        </w:rPr>
        <w:t xml:space="preserve"> When it comes to lending, only 38% of whites (and 74% of Blacks) think that Blacks are treated less fairly than whites when applying for a loan or mortgage, when in fact, a 2018 analysis revealed that Blacks applying for home loans were 1.8 to 5 times more likely to be denied than similarly qualified whites in 48 cities across the country, particularly in the South.</w:t>
      </w:r>
      <w:r w:rsidRPr="00EC612A">
        <w:rPr>
          <w:rFonts w:ascii="Book Antiqua" w:hAnsi="Book Antiqua" w:cs="TimesNewRomanPSMT"/>
          <w:sz w:val="24"/>
          <w:szCs w:val="24"/>
          <w:vertAlign w:val="superscript"/>
        </w:rPr>
        <w:footnoteReference w:id="4"/>
      </w:r>
      <w:r w:rsidRPr="00EC612A">
        <w:rPr>
          <w:rFonts w:ascii="Book Antiqua" w:hAnsi="Book Antiqua" w:cs="TimesNewRomanPSMT"/>
          <w:sz w:val="24"/>
          <w:szCs w:val="24"/>
        </w:rPr>
        <w:t xml:space="preserve"> The apparent gap between perception and reality is even worse when it comes to health: only 26% of whites (and 59% of Blacks) think that Blacks are treated less fairly than whites when seeking medical treatment, and yet a 2017 National Healthcare Quality and Disparities Report shows that the medical care that Blacks receive scores lower on 40% of health care quality measures as compared to the care that whites receive.</w:t>
      </w:r>
      <w:r w:rsidRPr="00EC612A">
        <w:rPr>
          <w:rFonts w:ascii="Book Antiqua" w:hAnsi="Book Antiqua" w:cs="TimesNewRomanPSMT"/>
          <w:sz w:val="24"/>
          <w:szCs w:val="24"/>
          <w:vertAlign w:val="superscript"/>
        </w:rPr>
        <w:footnoteReference w:id="5"/>
      </w:r>
      <w:r w:rsidRPr="00EC612A">
        <w:rPr>
          <w:rFonts w:ascii="Book Antiqua" w:hAnsi="Book Antiqua" w:cs="TimesNewRomanPSMT"/>
          <w:sz w:val="24"/>
          <w:szCs w:val="24"/>
        </w:rPr>
        <w:t xml:space="preserve"> Altogether, these gaps between what people believe and what the evidence suggests indicate that there is widespread ignorance about the state of race and racial inequality in the United States, particularly on the part of white Americans.</w:t>
      </w:r>
    </w:p>
    <w:p w14:paraId="0871299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Of course, it is a banal fact that ignorance abounds. We are beings with limited time, energy, perceptual access, technological skills, and cognitive resources inhabiting a vast and complex universe that far exceeds our epistemic capacities. Ignorance, then, is necessarily pervasive.</w:t>
      </w:r>
    </w:p>
    <w:p w14:paraId="785567DC"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Nonetheless, the inevitability of ignorance in general does not mean that we should always respond to particular instances of ignorance with a shrug. There can be both theoretical and practical reasons for caring about ignorance. Ignorance is theoretically interesting, for instance, if it is patterned in surprising and distinctive ways. At the same time, ignorance can have bad consequences, ranging from the mildly inconvenient to the utterly devastating; and sometimes there are facts that an agent should know.</w:t>
      </w:r>
      <w:r w:rsidRPr="00EC612A">
        <w:rPr>
          <w:rFonts w:ascii="Book Antiqua" w:hAnsi="Book Antiqua" w:cs="TimesNewRomanPSMT"/>
          <w:sz w:val="24"/>
          <w:szCs w:val="24"/>
          <w:vertAlign w:val="superscript"/>
        </w:rPr>
        <w:footnoteReference w:id="6"/>
      </w:r>
      <w:r w:rsidRPr="00EC612A">
        <w:rPr>
          <w:rFonts w:ascii="Book Antiqua" w:hAnsi="Book Antiqua" w:cs="TimesNewRomanPSMT"/>
          <w:sz w:val="24"/>
          <w:szCs w:val="24"/>
        </w:rPr>
        <w:t xml:space="preserve"> Thus, for various practical, moral, and theoretical reasons, ignorance sometimes merits sustained consideration.</w:t>
      </w:r>
    </w:p>
    <w:p w14:paraId="7F7E533C" w14:textId="7A86B878"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lastRenderedPageBreak/>
        <w:t>‘White ignorance’ is meant to capture one of those forms of ignorance that merit our consideration for both theoretical and practical reasons. Although a precise account of white ignorance is missing from the literature, epistemologists of ignorance have coined the term to refer, roughly, to patterns of ignorance— li</w:t>
      </w:r>
      <w:r w:rsidR="00934679">
        <w:rPr>
          <w:rFonts w:ascii="Book Antiqua" w:hAnsi="Book Antiqua" w:cs="TimesNewRomanPSMT"/>
          <w:sz w:val="24"/>
          <w:szCs w:val="24"/>
        </w:rPr>
        <w:t>ke the ones I started off with—</w:t>
      </w:r>
      <w:r w:rsidRPr="00EC612A">
        <w:rPr>
          <w:rFonts w:ascii="Book Antiqua" w:hAnsi="Book Antiqua" w:cs="TimesNewRomanPSMT"/>
          <w:sz w:val="24"/>
          <w:szCs w:val="24"/>
        </w:rPr>
        <w:t xml:space="preserve"> that are not merely coincidental or easily ascribable to the limits of finite beings, but instead systematically emerge from our social practices and are importantly related to the persistence of racial inequality.</w:t>
      </w:r>
      <w:r w:rsidRPr="00EC612A">
        <w:rPr>
          <w:rFonts w:ascii="Book Antiqua" w:hAnsi="Book Antiqua" w:cs="TimesNewRomanPSMT"/>
          <w:sz w:val="24"/>
          <w:szCs w:val="24"/>
          <w:vertAlign w:val="superscript"/>
        </w:rPr>
        <w:footnoteReference w:id="7"/>
      </w:r>
      <w:r w:rsidRPr="00EC612A">
        <w:rPr>
          <w:rFonts w:ascii="Book Antiqua" w:hAnsi="Book Antiqua" w:cs="TimesNewRomanPSMT"/>
          <w:sz w:val="24"/>
          <w:szCs w:val="24"/>
        </w:rPr>
        <w:t xml:space="preserve"> As such, I take the point of theorizing white ignorance to be to elucidate the epistemic dimensions of systemic racial injustice; the goal is to provide a clear account of white ignorance that will serve as an effective tool for diagnosing and critiquing the epistemic dimensions of white racial domination.</w:t>
      </w:r>
      <w:r w:rsidRPr="00EC612A">
        <w:rPr>
          <w:rFonts w:ascii="Book Antiqua" w:hAnsi="Book Antiqua" w:cs="TimesNewRomanPSMT"/>
          <w:sz w:val="24"/>
          <w:szCs w:val="24"/>
          <w:vertAlign w:val="superscript"/>
        </w:rPr>
        <w:footnoteReference w:id="8"/>
      </w:r>
      <w:r w:rsidRPr="00EC612A">
        <w:rPr>
          <w:rFonts w:ascii="Book Antiqua" w:hAnsi="Book Antiqua" w:cs="TimesNewRomanPSMT"/>
          <w:sz w:val="24"/>
          <w:szCs w:val="24"/>
        </w:rPr>
        <w:t xml:space="preserve"> Accordingly, the central question of this paper is how we should conceptualize white ignorance so as to best aid the fulfillment of the relevant political and theoretical aims.</w:t>
      </w:r>
    </w:p>
    <w:p w14:paraId="2C4C2FCA" w14:textId="77463976"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As it stands, Mills (2007) provides the most extensive discussion of white ignorance. He does not provide an account of white ignorance, however, but rather “gesture[s] toward some useful directions for mapping white ignorance and developing, accordingly, epistemic criteria for minimizing it.” Until now, that mapping has not been done, and direct theorizing of “white ignorance” has largely been neglected.</w:t>
      </w:r>
      <w:r w:rsidRPr="00EC612A">
        <w:rPr>
          <w:rFonts w:ascii="Book Antiqua" w:hAnsi="Book Antiqua" w:cs="TimesNewRomanPSMT"/>
          <w:sz w:val="24"/>
          <w:szCs w:val="24"/>
          <w:vertAlign w:val="superscript"/>
        </w:rPr>
        <w:footnoteReference w:id="9"/>
      </w:r>
      <w:r w:rsidRPr="00EC612A">
        <w:rPr>
          <w:rFonts w:ascii="Book Antiqua" w:hAnsi="Book Antiqua" w:cs="TimesNewRomanPSMT"/>
          <w:sz w:val="24"/>
          <w:szCs w:val="24"/>
        </w:rPr>
        <w:t xml:space="preserve"> Clear presentations of a substantive account of white ignorance are missing, as are evaluations of possible accounts. </w:t>
      </w:r>
    </w:p>
    <w:p w14:paraId="01D23021" w14:textId="7458A9C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In this paper, I take up the project of determining how we should develop the notion of white ignorance to best aid our political aims. To accomplish this, I do three things. First, I consider the purpose of having a concept of white ignorance, and use this </w:t>
      </w:r>
      <w:r w:rsidRPr="00EC612A">
        <w:rPr>
          <w:rFonts w:ascii="Book Antiqua" w:hAnsi="Book Antiqua" w:cs="TimesNewRomanPSMT"/>
          <w:sz w:val="24"/>
          <w:szCs w:val="24"/>
        </w:rPr>
        <w:lastRenderedPageBreak/>
        <w:t xml:space="preserve">to develop desiderata for an account. Second, drawing on examples found in the literature, I offer reconstructions of two seemingly popular positions and evaluate them with respect to the desiderata. The first and most intuitive view takes white ignorance to be the result of white individuals’ willful refusal to engage with the reality of race and racial inequality. While this Willful Ignorance view does a good job of capturing some core cases, it fails to adequately capture other cases that are both intuitively paradigmatic and important to understanding how ignorance can help sustain white racial domination. Likewise, the Cognitivist View, which seems to be the standard view in the literature, is also overly narrow. In presenting these views and considering how they do relative to the desirata, I provide not only the first explicit articulation, but also the first critical evaluation of an account of white ignorance. Third, I propose a </w:t>
      </w:r>
      <w:r w:rsidR="00945371">
        <w:rPr>
          <w:rFonts w:ascii="Book Antiqua" w:hAnsi="Book Antiqua" w:cs="TimesNewRomanPSMT"/>
          <w:sz w:val="24"/>
          <w:szCs w:val="24"/>
        </w:rPr>
        <w:t>new account— the Structuralist V</w:t>
      </w:r>
      <w:r w:rsidRPr="00EC612A">
        <w:rPr>
          <w:rFonts w:ascii="Book Antiqua" w:hAnsi="Book Antiqua" w:cs="TimesNewRomanPSMT"/>
          <w:sz w:val="24"/>
          <w:szCs w:val="24"/>
        </w:rPr>
        <w:t xml:space="preserve">iew— that analyzes white ignorance in terms of its connections to the social structural processes that generate and sustain white racial domination. Ultimately, I will argue that, as compared to the alternatives, the Structuralist </w:t>
      </w:r>
      <w:r w:rsidR="005C37A6">
        <w:rPr>
          <w:rFonts w:ascii="Book Antiqua" w:hAnsi="Book Antiqua" w:cs="TimesNewRomanPSMT"/>
          <w:sz w:val="24"/>
          <w:szCs w:val="24"/>
        </w:rPr>
        <w:t>View</w:t>
      </w:r>
      <w:r w:rsidRPr="00EC612A">
        <w:rPr>
          <w:rFonts w:ascii="Book Antiqua" w:hAnsi="Book Antiqua" w:cs="TimesNewRomanPSMT"/>
          <w:sz w:val="24"/>
          <w:szCs w:val="24"/>
        </w:rPr>
        <w:t xml:space="preserve"> better accounts for the patterns of ignorance that we observe, better illuminates the connection to white racial domination, and is better suited to the project of ameliorating racial injustice.</w:t>
      </w:r>
    </w:p>
    <w:p w14:paraId="637796C7" w14:textId="77777777" w:rsidR="000475AD" w:rsidRPr="00EC612A" w:rsidRDefault="000475AD" w:rsidP="000475AD">
      <w:pPr>
        <w:tabs>
          <w:tab w:val="left" w:pos="1440"/>
          <w:tab w:val="left" w:pos="2160"/>
          <w:tab w:val="left" w:pos="2880"/>
        </w:tabs>
        <w:spacing w:line="360" w:lineRule="auto"/>
        <w:rPr>
          <w:rFonts w:ascii="Book Antiqua" w:hAnsi="Book Antiqua" w:cs="TimesNewRomanPSMT"/>
          <w:b/>
          <w:sz w:val="24"/>
          <w:szCs w:val="24"/>
        </w:rPr>
      </w:pPr>
    </w:p>
    <w:p w14:paraId="78C57BB0" w14:textId="31651639" w:rsidR="00D567D5" w:rsidRPr="00066558" w:rsidRDefault="004C57BD" w:rsidP="00066558">
      <w:pPr>
        <w:tabs>
          <w:tab w:val="left" w:pos="1440"/>
          <w:tab w:val="left" w:pos="2160"/>
          <w:tab w:val="left" w:pos="2880"/>
        </w:tabs>
        <w:spacing w:line="360" w:lineRule="auto"/>
        <w:rPr>
          <w:rFonts w:ascii="Book Antiqua" w:hAnsi="Book Antiqua" w:cs="TimesNewRomanPSMT"/>
          <w:b/>
          <w:sz w:val="24"/>
          <w:szCs w:val="24"/>
        </w:rPr>
      </w:pPr>
      <w:r w:rsidRPr="00EC612A">
        <w:rPr>
          <w:rFonts w:ascii="Book Antiqua" w:hAnsi="Book Antiqua" w:cs="TimesNewRomanPSMT"/>
          <w:b/>
          <w:sz w:val="24"/>
          <w:szCs w:val="24"/>
        </w:rPr>
        <w:t>1. Desiderata</w:t>
      </w:r>
    </w:p>
    <w:p w14:paraId="4B27100A" w14:textId="708F7B39"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The central project of this paper is one of theory-building. The aim is to determine how we should develop the concept of white ignorance in order to best serve our practical and theoretical aims. Ultim</w:t>
      </w:r>
      <w:r w:rsidR="00066558">
        <w:rPr>
          <w:rFonts w:ascii="Book Antiqua" w:hAnsi="Book Antiqua" w:cs="TimesNewRomanPSMT"/>
          <w:sz w:val="24"/>
          <w:szCs w:val="24"/>
        </w:rPr>
        <w:t xml:space="preserve">ately, this is part of a </w:t>
      </w:r>
      <w:r w:rsidRPr="00EC612A">
        <w:rPr>
          <w:rFonts w:ascii="Book Antiqua" w:hAnsi="Book Antiqua" w:cs="TimesNewRomanPSMT"/>
          <w:sz w:val="24"/>
          <w:szCs w:val="24"/>
        </w:rPr>
        <w:t xml:space="preserve">project of theorizing (racial) oppression, which is itself part of a larger political project aimed at reducing and ultimately eliminating (racial) oppression. The role of theory-building in this context is to develop conceptual tools that will be useful for the political project insofar as they make room for, draw attention to, and help elucidate phenomena that play an important role in sustaining racial oppression. </w:t>
      </w:r>
    </w:p>
    <w:p w14:paraId="349F2846" w14:textId="77D0A632"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To clarify</w:t>
      </w:r>
      <w:r w:rsidR="00AF0FC3">
        <w:rPr>
          <w:rFonts w:ascii="Book Antiqua" w:hAnsi="Book Antiqua" w:cs="TimesNewRomanPSMT"/>
          <w:sz w:val="24"/>
          <w:szCs w:val="24"/>
        </w:rPr>
        <w:t xml:space="preserve"> the aims of the paper</w:t>
      </w:r>
      <w:r w:rsidRPr="00EC612A">
        <w:rPr>
          <w:rFonts w:ascii="Book Antiqua" w:hAnsi="Book Antiqua" w:cs="TimesNewRomanPSMT"/>
          <w:sz w:val="24"/>
          <w:szCs w:val="24"/>
        </w:rPr>
        <w:t xml:space="preserve">, I want to emphasize two things that I am </w:t>
      </w:r>
      <w:r w:rsidRPr="00EC612A">
        <w:rPr>
          <w:rFonts w:ascii="Book Antiqua" w:hAnsi="Book Antiqua" w:cs="TimesNewRomanPSMT"/>
          <w:i/>
          <w:sz w:val="24"/>
          <w:szCs w:val="24"/>
        </w:rPr>
        <w:t xml:space="preserve">not </w:t>
      </w:r>
      <w:r w:rsidRPr="00EC612A">
        <w:rPr>
          <w:rFonts w:ascii="Book Antiqua" w:hAnsi="Book Antiqua" w:cs="TimesNewRomanPSMT"/>
          <w:sz w:val="24"/>
          <w:szCs w:val="24"/>
        </w:rPr>
        <w:t>doing</w:t>
      </w:r>
      <w:bookmarkStart w:id="0" w:name="_GoBack"/>
      <w:bookmarkEnd w:id="0"/>
      <w:r w:rsidRPr="00EC612A">
        <w:rPr>
          <w:rFonts w:ascii="Book Antiqua" w:hAnsi="Book Antiqua" w:cs="TimesNewRomanPSMT"/>
          <w:sz w:val="24"/>
          <w:szCs w:val="24"/>
        </w:rPr>
        <w:t xml:space="preserve">. First, I am not providing an analysis of our ordinary concept of ‘white ignorance.’ For one, there appears not to be an ordinary concept on which I could perform such an analysis. But even if there were, my aim is not to pin this down. </w:t>
      </w:r>
    </w:p>
    <w:p w14:paraId="58D8DAB2"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Second, I am not providing a causal analysis of empirical phenomena. Causal relationships do play important roles in the accounts that I will be discussing, and I will stipulate that certain causal relations hold in fictional examples as a way of providing concrete illustrations of these views. I hope it will seem plausible that similar relations might hold for their real-world counterparts, but I do not intend to settle this from the armchair.</w:t>
      </w:r>
    </w:p>
    <w:p w14:paraId="124AD3A1" w14:textId="15F95BD4" w:rsidR="00D567D5" w:rsidRPr="00EC612A" w:rsidRDefault="00066558" w:rsidP="000475AD">
      <w:pPr>
        <w:tabs>
          <w:tab w:val="left" w:pos="1440"/>
          <w:tab w:val="left" w:pos="2160"/>
          <w:tab w:val="left" w:pos="2880"/>
        </w:tabs>
        <w:spacing w:line="360" w:lineRule="auto"/>
        <w:ind w:firstLine="720"/>
        <w:rPr>
          <w:rFonts w:ascii="Book Antiqua" w:hAnsi="Book Antiqua" w:cs="TimesNewRomanPSMT"/>
          <w:sz w:val="24"/>
          <w:szCs w:val="24"/>
        </w:rPr>
      </w:pPr>
      <w:r>
        <w:rPr>
          <w:rFonts w:ascii="Book Antiqua" w:hAnsi="Book Antiqua" w:cs="TimesNewRomanPSMT"/>
          <w:sz w:val="24"/>
          <w:szCs w:val="24"/>
        </w:rPr>
        <w:t>Instead</w:t>
      </w:r>
      <w:r w:rsidR="004C57BD" w:rsidRPr="00EC612A">
        <w:rPr>
          <w:rFonts w:ascii="Book Antiqua" w:hAnsi="Book Antiqua" w:cs="TimesNewRomanPSMT"/>
          <w:sz w:val="24"/>
          <w:szCs w:val="24"/>
        </w:rPr>
        <w:t>, the inquiry that I am performing when asking “what is white ignorance?” is normative.</w:t>
      </w:r>
      <w:r w:rsidR="004C57BD" w:rsidRPr="00EC612A">
        <w:rPr>
          <w:rFonts w:ascii="Book Antiqua" w:hAnsi="Book Antiqua" w:cs="TimesNewRomanPSMT"/>
          <w:sz w:val="24"/>
          <w:szCs w:val="24"/>
          <w:vertAlign w:val="superscript"/>
        </w:rPr>
        <w:footnoteReference w:id="10"/>
      </w:r>
      <w:r w:rsidR="004C57BD" w:rsidRPr="00EC612A">
        <w:rPr>
          <w:rFonts w:ascii="Book Antiqua" w:hAnsi="Book Antiqua" w:cs="TimesNewRomanPSMT"/>
          <w:sz w:val="24"/>
          <w:szCs w:val="24"/>
        </w:rPr>
        <w:t xml:space="preserve"> I am interested in how we should conceptualize ‘white ignorance’ in order to best inform the political project of ameliorating racial oppression. It may help to contrast this with a moral approach. If the goal here were to identify what is morally objectionable about certain patterns of ignorance, then our theorizing should draw attention to and help us distinguish between certain normatively relevant features such as individual control, how easy it would have been to achieve knowledge, etc. In contrast, here it may be appropriate to direct our attention to patterns of ignorance for which no one is blameworthy. The change in ends calls for a corresponding shift in attention. Note that in engaging in this kind of normative theorizing, it is important to avoid an analysis that, in the desire to prescribe solutions, is too narrow or oversimplified.</w:t>
      </w:r>
      <w:r w:rsidR="004C57BD" w:rsidRPr="00EC612A">
        <w:rPr>
          <w:rFonts w:ascii="Book Antiqua" w:hAnsi="Book Antiqua" w:cs="TimesNewRomanPSMT"/>
          <w:sz w:val="24"/>
          <w:szCs w:val="24"/>
          <w:vertAlign w:val="superscript"/>
        </w:rPr>
        <w:footnoteReference w:id="11"/>
      </w:r>
      <w:r w:rsidR="004C57BD" w:rsidRPr="00EC612A">
        <w:rPr>
          <w:rFonts w:ascii="Book Antiqua" w:hAnsi="Book Antiqua" w:cs="TimesNewRomanPSMT"/>
          <w:sz w:val="24"/>
          <w:szCs w:val="24"/>
        </w:rPr>
        <w:t xml:space="preserve"> </w:t>
      </w:r>
    </w:p>
    <w:p w14:paraId="5BA58FB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These big-picture considerations give rise to three central desiderata for an account of white ignorance. An account of white ignorance should:</w:t>
      </w:r>
    </w:p>
    <w:p w14:paraId="7DE02B1A" w14:textId="77777777" w:rsidR="000475AD" w:rsidRPr="00EC612A" w:rsidRDefault="000475AD" w:rsidP="000475AD">
      <w:pPr>
        <w:tabs>
          <w:tab w:val="left" w:pos="1440"/>
          <w:tab w:val="left" w:pos="2160"/>
          <w:tab w:val="left" w:pos="2880"/>
        </w:tabs>
        <w:spacing w:line="360" w:lineRule="auto"/>
        <w:rPr>
          <w:rFonts w:ascii="Book Antiqua" w:hAnsi="Book Antiqua" w:cs="TimesNewRomanPSMT"/>
          <w:b/>
          <w:sz w:val="24"/>
          <w:szCs w:val="24"/>
        </w:rPr>
      </w:pPr>
    </w:p>
    <w:p w14:paraId="79876393" w14:textId="77777777" w:rsidR="00D567D5" w:rsidRPr="00EC612A" w:rsidRDefault="004C57BD" w:rsidP="000475AD">
      <w:pPr>
        <w:tabs>
          <w:tab w:val="left" w:pos="1440"/>
          <w:tab w:val="left" w:pos="2160"/>
          <w:tab w:val="left" w:pos="2880"/>
        </w:tabs>
        <w:spacing w:line="360" w:lineRule="auto"/>
        <w:rPr>
          <w:rFonts w:ascii="Book Antiqua" w:hAnsi="Book Antiqua" w:cs="TimesNewRomanPSMT"/>
          <w:sz w:val="24"/>
          <w:szCs w:val="24"/>
        </w:rPr>
      </w:pPr>
      <w:r w:rsidRPr="00EC612A">
        <w:rPr>
          <w:rFonts w:ascii="Book Antiqua" w:hAnsi="Book Antiqua" w:cs="TimesNewRomanPSMT"/>
          <w:b/>
          <w:sz w:val="24"/>
          <w:szCs w:val="24"/>
        </w:rPr>
        <w:t>(1) Account for important patterns of ignorance about matters pertaining to race and racial inequality.</w:t>
      </w:r>
      <w:r w:rsidRPr="00EC612A">
        <w:rPr>
          <w:rFonts w:ascii="Book Antiqua" w:hAnsi="Book Antiqua" w:cs="TimesNewRomanPSMT"/>
          <w:sz w:val="24"/>
          <w:szCs w:val="24"/>
        </w:rPr>
        <w:t xml:space="preserve"> An account of white ignorance should be able to account for observed patterns of ignorance, and features of those patterns of ignorance, that play an important role in white racial domination. More specifically:</w:t>
      </w:r>
    </w:p>
    <w:p w14:paraId="5A040785" w14:textId="77777777"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 xml:space="preserve">1a) For any particular pattern of ignorance, the account should be able to make sense of why ignorance about that matter is so </w:t>
      </w:r>
      <w:r w:rsidRPr="00EC612A">
        <w:rPr>
          <w:rFonts w:ascii="Book Antiqua" w:hAnsi="Book Antiqua" w:cs="TimesNewRomanPSMT"/>
          <w:i/>
          <w:sz w:val="24"/>
          <w:szCs w:val="24"/>
        </w:rPr>
        <w:t>widespread.</w:t>
      </w:r>
      <w:r w:rsidRPr="00EC612A">
        <w:rPr>
          <w:rFonts w:ascii="Book Antiqua" w:hAnsi="Book Antiqua" w:cs="TimesNewRomanPSMT"/>
          <w:sz w:val="24"/>
          <w:szCs w:val="24"/>
        </w:rPr>
        <w:t xml:space="preserve"> </w:t>
      </w:r>
    </w:p>
    <w:p w14:paraId="67A162BD" w14:textId="4476C2AF"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 xml:space="preserve">1b) The view </w:t>
      </w:r>
      <w:r w:rsidR="00BD2299">
        <w:rPr>
          <w:rFonts w:ascii="Book Antiqua" w:hAnsi="Book Antiqua" w:cs="TimesNewRomanPSMT"/>
          <w:sz w:val="24"/>
          <w:szCs w:val="24"/>
        </w:rPr>
        <w:t>should be able to make sense of</w:t>
      </w:r>
      <w:r w:rsidRPr="00EC612A">
        <w:rPr>
          <w:rFonts w:ascii="Book Antiqua" w:hAnsi="Book Antiqua" w:cs="TimesNewRomanPSMT"/>
          <w:sz w:val="24"/>
          <w:szCs w:val="24"/>
        </w:rPr>
        <w:t xml:space="preserve"> </w:t>
      </w:r>
      <w:r w:rsidRPr="00EC612A">
        <w:rPr>
          <w:rFonts w:ascii="Book Antiqua" w:hAnsi="Book Antiqua" w:cs="TimesNewRomanPSMT"/>
          <w:i/>
          <w:sz w:val="24"/>
          <w:szCs w:val="24"/>
        </w:rPr>
        <w:t>demographic trends</w:t>
      </w:r>
      <w:r w:rsidRPr="00EC612A">
        <w:rPr>
          <w:rFonts w:ascii="Book Antiqua" w:hAnsi="Book Antiqua" w:cs="TimesNewRomanPSMT"/>
          <w:sz w:val="24"/>
          <w:szCs w:val="24"/>
        </w:rPr>
        <w:t xml:space="preserve"> in the distribution of ignorance. For instance, in many cases (like examples I started with), white individuals are more likely to be ignorant about some matter relating to racial inequality than non-whites are. </w:t>
      </w:r>
    </w:p>
    <w:p w14:paraId="3555DC4E" w14:textId="77777777"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 xml:space="preserve">1c) An account of white ignorance should be able to make sense of the </w:t>
      </w:r>
      <w:r w:rsidRPr="00EC612A">
        <w:rPr>
          <w:rFonts w:ascii="Book Antiqua" w:hAnsi="Book Antiqua" w:cs="TimesNewRomanPSMT"/>
          <w:i/>
          <w:sz w:val="24"/>
          <w:szCs w:val="24"/>
        </w:rPr>
        <w:t>form(s)</w:t>
      </w:r>
      <w:r w:rsidRPr="00EC612A">
        <w:rPr>
          <w:rFonts w:ascii="Book Antiqua" w:hAnsi="Book Antiqua" w:cs="TimesNewRomanPSMT"/>
          <w:sz w:val="24"/>
          <w:szCs w:val="24"/>
        </w:rPr>
        <w:t xml:space="preserve"> that these patterns of ignorance take— whether it be false belief (e.g. falsely believing that Black American families earn $85 for every $100 that white American families earn), suspension of judgment (e.g. suspending judgment on whether racism is still a live problem for people of color in the United States),</w:t>
      </w:r>
      <w:r w:rsidRPr="00EC612A">
        <w:rPr>
          <w:rFonts w:ascii="Book Antiqua" w:hAnsi="Book Antiqua" w:cs="TimesNewRomanPSMT"/>
          <w:sz w:val="24"/>
          <w:szCs w:val="24"/>
          <w:vertAlign w:val="superscript"/>
        </w:rPr>
        <w:footnoteReference w:id="12"/>
      </w:r>
      <w:r w:rsidRPr="00EC612A">
        <w:rPr>
          <w:rFonts w:ascii="Book Antiqua" w:hAnsi="Book Antiqua" w:cs="TimesNewRomanPSMT"/>
          <w:sz w:val="24"/>
          <w:szCs w:val="24"/>
        </w:rPr>
        <w:t xml:space="preserve"> or lack of belief (e.g. lacking any sort of belief about redlining, because one has never even heard of it.</w:t>
      </w:r>
      <w:r w:rsidRPr="00EC612A">
        <w:rPr>
          <w:rFonts w:ascii="Book Antiqua" w:hAnsi="Book Antiqua" w:cs="TimesNewRomanPSMT"/>
          <w:sz w:val="24"/>
          <w:szCs w:val="24"/>
          <w:vertAlign w:val="superscript"/>
        </w:rPr>
        <w:footnoteReference w:id="13"/>
      </w:r>
      <w:r w:rsidRPr="00EC612A">
        <w:rPr>
          <w:rFonts w:ascii="Book Antiqua" w:hAnsi="Book Antiqua" w:cs="TimesNewRomanPSMT"/>
          <w:sz w:val="24"/>
          <w:szCs w:val="24"/>
        </w:rPr>
        <w:t xml:space="preserve"> Moreover, if there are interesting patterns in the </w:t>
      </w:r>
      <w:r w:rsidRPr="00EC612A">
        <w:rPr>
          <w:rFonts w:ascii="Book Antiqua" w:hAnsi="Book Antiqua" w:cs="TimesNewRomanPSMT"/>
          <w:i/>
          <w:sz w:val="24"/>
          <w:szCs w:val="24"/>
        </w:rPr>
        <w:t>contents</w:t>
      </w:r>
      <w:r w:rsidRPr="00EC612A">
        <w:rPr>
          <w:rFonts w:ascii="Book Antiqua" w:hAnsi="Book Antiqua" w:cs="TimesNewRomanPSMT"/>
          <w:sz w:val="24"/>
          <w:szCs w:val="24"/>
        </w:rPr>
        <w:t xml:space="preserve"> of the ignorance— for instance, people are arriving at false beliefs with the same contents— the view should be able to account for this.</w:t>
      </w:r>
    </w:p>
    <w:p w14:paraId="39F1688A" w14:textId="77777777"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 xml:space="preserve">1d) White ignorance is often taken to be a paradigmatic instance of ignorance that is </w:t>
      </w:r>
      <w:r w:rsidRPr="00EC612A">
        <w:rPr>
          <w:rFonts w:ascii="Book Antiqua" w:hAnsi="Book Antiqua" w:cs="TimesNewRomanPSMT"/>
          <w:i/>
          <w:sz w:val="24"/>
          <w:szCs w:val="24"/>
        </w:rPr>
        <w:t>active,</w:t>
      </w:r>
      <w:r w:rsidRPr="00EC612A">
        <w:rPr>
          <w:rFonts w:ascii="Book Antiqua" w:hAnsi="Book Antiqua" w:cs="TimesNewRomanPSMT"/>
          <w:sz w:val="24"/>
          <w:szCs w:val="24"/>
        </w:rPr>
        <w:t xml:space="preserve"> or resilient and difficult to eradicate.</w:t>
      </w:r>
      <w:r w:rsidRPr="00EC612A">
        <w:rPr>
          <w:rFonts w:ascii="Book Antiqua" w:hAnsi="Book Antiqua" w:cs="TimesNewRomanPSMT"/>
          <w:sz w:val="24"/>
          <w:szCs w:val="24"/>
          <w:vertAlign w:val="superscript"/>
        </w:rPr>
        <w:footnoteReference w:id="14"/>
      </w:r>
      <w:r w:rsidRPr="00EC612A">
        <w:rPr>
          <w:rFonts w:ascii="Book Antiqua" w:hAnsi="Book Antiqua" w:cs="TimesNewRomanPSMT"/>
          <w:sz w:val="24"/>
          <w:szCs w:val="24"/>
        </w:rPr>
        <w:t xml:space="preserve"> An account of white ignorance should be able to make sense of this resilience. </w:t>
      </w:r>
    </w:p>
    <w:p w14:paraId="7D44458E" w14:textId="77777777" w:rsidR="00D567D5" w:rsidRPr="00EC612A" w:rsidRDefault="004C57BD" w:rsidP="000475AD">
      <w:pPr>
        <w:tabs>
          <w:tab w:val="left" w:pos="1440"/>
          <w:tab w:val="left" w:pos="2160"/>
          <w:tab w:val="left" w:pos="2880"/>
        </w:tabs>
        <w:spacing w:line="360" w:lineRule="auto"/>
        <w:rPr>
          <w:rFonts w:ascii="Book Antiqua" w:hAnsi="Book Antiqua" w:cs="TimesNewRomanPSMT"/>
          <w:sz w:val="24"/>
          <w:szCs w:val="24"/>
        </w:rPr>
      </w:pPr>
      <w:r w:rsidRPr="00EC612A">
        <w:rPr>
          <w:rFonts w:ascii="Book Antiqua" w:hAnsi="Book Antiqua" w:cs="TimesNewRomanPSMT"/>
          <w:b/>
          <w:sz w:val="24"/>
          <w:szCs w:val="24"/>
        </w:rPr>
        <w:t>(2) Help account for the persistence of white racial domination.</w:t>
      </w:r>
      <w:r w:rsidRPr="00EC612A">
        <w:rPr>
          <w:rFonts w:ascii="Book Antiqua" w:hAnsi="Book Antiqua" w:cs="TimesNewRomanPSMT"/>
          <w:sz w:val="24"/>
          <w:szCs w:val="24"/>
        </w:rPr>
        <w:t xml:space="preserve"> Again, the point of theorizing about white ignorance is to help elucidate how patterns of ignorance help sustain white racial domination. In particular:</w:t>
      </w:r>
    </w:p>
    <w:p w14:paraId="3F2D471B" w14:textId="77777777"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 xml:space="preserve">2a) The view should provide </w:t>
      </w:r>
      <w:r w:rsidRPr="00EC612A">
        <w:rPr>
          <w:rFonts w:ascii="Book Antiqua" w:hAnsi="Book Antiqua" w:cs="TimesNewRomanPSMT"/>
          <w:i/>
          <w:sz w:val="24"/>
          <w:szCs w:val="24"/>
        </w:rPr>
        <w:t>extensional coverage</w:t>
      </w:r>
      <w:r w:rsidRPr="00EC612A">
        <w:rPr>
          <w:rFonts w:ascii="Book Antiqua" w:hAnsi="Book Antiqua" w:cs="TimesNewRomanPSMT"/>
          <w:sz w:val="24"/>
          <w:szCs w:val="24"/>
        </w:rPr>
        <w:t>. That is, if there is a case that helps to explain the persistence of white racial domination (as indicated by empirical analysis), then the view should identify this as a case of white ignorance.</w:t>
      </w:r>
    </w:p>
    <w:p w14:paraId="470DADA6" w14:textId="77777777" w:rsidR="00D567D5" w:rsidRPr="00EC612A" w:rsidRDefault="004C57BD" w:rsidP="000475AD">
      <w:pPr>
        <w:tabs>
          <w:tab w:val="left" w:pos="1440"/>
          <w:tab w:val="left" w:pos="2160"/>
          <w:tab w:val="left" w:pos="2880"/>
        </w:tabs>
        <w:spacing w:line="360" w:lineRule="auto"/>
        <w:ind w:left="720" w:hanging="360"/>
        <w:rPr>
          <w:rFonts w:ascii="Book Antiqua" w:hAnsi="Book Antiqua" w:cs="TimesNewRomanPSMT"/>
          <w:sz w:val="24"/>
          <w:szCs w:val="24"/>
        </w:rPr>
      </w:pPr>
      <w:r w:rsidRPr="00EC612A">
        <w:rPr>
          <w:rFonts w:ascii="Book Antiqua" w:hAnsi="Book Antiqua" w:cs="TimesNewRomanPSMT"/>
          <w:sz w:val="24"/>
          <w:szCs w:val="24"/>
        </w:rPr>
        <w:t>2b) One notable feature of white racial domination is its stability and resistance to change. A view of white ignorance will do better if it is better able to help account for this persistence and stability.</w:t>
      </w:r>
    </w:p>
    <w:p w14:paraId="72CBA726" w14:textId="77777777" w:rsidR="00D567D5" w:rsidRPr="00EC612A" w:rsidRDefault="004C57BD" w:rsidP="000475AD">
      <w:pPr>
        <w:tabs>
          <w:tab w:val="left" w:pos="1440"/>
          <w:tab w:val="left" w:pos="2160"/>
          <w:tab w:val="left" w:pos="2880"/>
        </w:tabs>
        <w:spacing w:line="360" w:lineRule="auto"/>
        <w:rPr>
          <w:rFonts w:ascii="Book Antiqua" w:hAnsi="Book Antiqua" w:cs="TimesNewRomanPSMT"/>
          <w:sz w:val="24"/>
          <w:szCs w:val="24"/>
        </w:rPr>
      </w:pPr>
      <w:r w:rsidRPr="00EC612A">
        <w:rPr>
          <w:rFonts w:ascii="Book Antiqua" w:hAnsi="Book Antiqua" w:cs="TimesNewRomanPSMT"/>
          <w:b/>
          <w:sz w:val="24"/>
          <w:szCs w:val="24"/>
        </w:rPr>
        <w:t xml:space="preserve">(3) Accommodate the ways in which social practices give rise to patterns of domination-sustaining ignorance. </w:t>
      </w:r>
      <w:r w:rsidRPr="00EC612A">
        <w:rPr>
          <w:rFonts w:ascii="Book Antiqua" w:hAnsi="Book Antiqua" w:cs="TimesNewRomanPSMT"/>
          <w:color w:val="FF0000"/>
          <w:sz w:val="24"/>
          <w:szCs w:val="24"/>
        </w:rPr>
        <w:t xml:space="preserve"> </w:t>
      </w:r>
      <w:r w:rsidRPr="00EC612A">
        <w:rPr>
          <w:rFonts w:ascii="Book Antiqua" w:hAnsi="Book Antiqua" w:cs="TimesNewRomanPSMT"/>
          <w:sz w:val="24"/>
          <w:szCs w:val="24"/>
        </w:rPr>
        <w:t xml:space="preserve">If empirical analysis suggests that there is an important way in which social practices give rise to patterns of domination-sustaining ignorance, then this should be captured by the view of white ignorance— I refer to this as providing </w:t>
      </w:r>
      <w:r w:rsidRPr="00EC612A">
        <w:rPr>
          <w:rFonts w:ascii="Book Antiqua" w:hAnsi="Book Antiqua" w:cs="TimesNewRomanPSMT"/>
          <w:i/>
          <w:sz w:val="24"/>
          <w:szCs w:val="24"/>
        </w:rPr>
        <w:t xml:space="preserve">explanatory coverage. </w:t>
      </w:r>
      <w:r w:rsidRPr="00EC612A">
        <w:rPr>
          <w:rFonts w:ascii="Book Antiqua" w:hAnsi="Book Antiqua" w:cs="TimesNewRomanPSMT"/>
          <w:sz w:val="24"/>
          <w:szCs w:val="24"/>
        </w:rPr>
        <w:t>Explanatory coverage is important because we should not fail to attend to, and thereby risk failing to intervene on, practices that play an important role in sustaining white racial domination. This is connected to the need to ensure that the result of our normative analysis does not paint an overly narrow or simplified picture of white racial domination.</w:t>
      </w:r>
    </w:p>
    <w:p w14:paraId="09D84196"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In addition to these desiderata, views may have additional practical or theoretical costs and benefits. For instance, some views might offer additional explanatory power, provide greater suggestions for intervention, or suggest a means of motivating individuals to take action. Insofar as these advance the broader aims of the project, I will take them to count in favor of the view, and vice versa.</w:t>
      </w:r>
    </w:p>
    <w:p w14:paraId="4858D6CE"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Lastly, I want to emphasize a separate point about the scope of the project. Like Mills (2015), I take it that, given the history of European colonialism, white ignorance will be found across national and inter-national contexts. Similarly, “white ignorance” should not be taken to assume a Black-white racial binary; rather, I expect white ignorance to be found across contexts of white racial domination in which non-white racial groups are oppressed. </w:t>
      </w:r>
    </w:p>
    <w:p w14:paraId="1BE28A58" w14:textId="77777777" w:rsidR="000475AD" w:rsidRPr="00EC612A" w:rsidRDefault="000475AD" w:rsidP="000475AD">
      <w:pPr>
        <w:tabs>
          <w:tab w:val="left" w:pos="1440"/>
          <w:tab w:val="left" w:pos="2160"/>
          <w:tab w:val="left" w:pos="2880"/>
        </w:tabs>
        <w:spacing w:line="360" w:lineRule="auto"/>
        <w:ind w:firstLine="720"/>
        <w:rPr>
          <w:rFonts w:ascii="Book Antiqua" w:hAnsi="Book Antiqua" w:cs="TimesNewRomanPSMT"/>
          <w:b/>
          <w:sz w:val="24"/>
          <w:szCs w:val="24"/>
        </w:rPr>
      </w:pPr>
    </w:p>
    <w:p w14:paraId="07E25C52" w14:textId="5CE21C39" w:rsidR="00D567D5" w:rsidRPr="00EC612A" w:rsidRDefault="004C57BD" w:rsidP="000475AD">
      <w:pPr>
        <w:tabs>
          <w:tab w:val="left" w:pos="1440"/>
          <w:tab w:val="left" w:pos="2160"/>
          <w:tab w:val="left" w:pos="2880"/>
        </w:tabs>
        <w:spacing w:line="360" w:lineRule="auto"/>
        <w:rPr>
          <w:rFonts w:ascii="Book Antiqua" w:hAnsi="Book Antiqua" w:cs="TimesNewRomanPSMT"/>
          <w:b/>
          <w:sz w:val="24"/>
          <w:szCs w:val="24"/>
        </w:rPr>
      </w:pPr>
      <w:r w:rsidRPr="00EC612A">
        <w:rPr>
          <w:rFonts w:ascii="Book Antiqua" w:hAnsi="Book Antiqua" w:cs="TimesNewRomanPSMT"/>
          <w:b/>
          <w:sz w:val="24"/>
          <w:szCs w:val="24"/>
        </w:rPr>
        <w:t>2. The Willful Ignorance View</w:t>
      </w:r>
    </w:p>
    <w:p w14:paraId="11FC727C" w14:textId="75862B2C" w:rsidR="00D567D5" w:rsidRPr="00EC612A" w:rsidRDefault="000475AD" w:rsidP="000475AD">
      <w:pPr>
        <w:tabs>
          <w:tab w:val="left" w:pos="720"/>
          <w:tab w:val="left" w:pos="1440"/>
          <w:tab w:val="left" w:pos="2160"/>
          <w:tab w:val="left" w:pos="2880"/>
        </w:tabs>
        <w:spacing w:line="360" w:lineRule="auto"/>
        <w:rPr>
          <w:rFonts w:ascii="Book Antiqua" w:hAnsi="Book Antiqua" w:cs="TimesNewRomanPSMT"/>
          <w:sz w:val="24"/>
          <w:szCs w:val="24"/>
        </w:rPr>
      </w:pPr>
      <w:r w:rsidRPr="00EC612A">
        <w:rPr>
          <w:rFonts w:ascii="Book Antiqua" w:hAnsi="Book Antiqua" w:cs="TimesNewRomanPSMT"/>
          <w:sz w:val="24"/>
          <w:szCs w:val="24"/>
        </w:rPr>
        <w:tab/>
      </w:r>
      <w:r w:rsidR="004C57BD" w:rsidRPr="00EC612A">
        <w:rPr>
          <w:rFonts w:ascii="Book Antiqua" w:hAnsi="Book Antiqua" w:cs="TimesNewRomanPSMT"/>
          <w:sz w:val="24"/>
          <w:szCs w:val="24"/>
        </w:rPr>
        <w:t>The first view I will consider is the Willful Ignorance View. On this view, an individual is white ignorant just in case they are willfully ignorant about matters pertaining to race and racial inequality as a result of implicitly or explicitly trying to protect their psychological interest in seeing themself as a good person in a mostly just world, while simultaneously trying to protect the material benefits they receive as a result of white racial domination (e.g. income, wealth, access to resources, social power, credibility).</w:t>
      </w:r>
      <w:r w:rsidR="004C57BD" w:rsidRPr="00EC612A">
        <w:rPr>
          <w:rFonts w:ascii="Book Antiqua" w:hAnsi="Book Antiqua" w:cs="TimesNewRomanPSMT"/>
          <w:sz w:val="24"/>
          <w:szCs w:val="24"/>
          <w:vertAlign w:val="superscript"/>
        </w:rPr>
        <w:footnoteReference w:id="15"/>
      </w:r>
      <w:r w:rsidR="004C57BD" w:rsidRPr="00EC612A">
        <w:rPr>
          <w:rFonts w:ascii="Book Antiqua" w:hAnsi="Book Antiqua" w:cs="TimesNewRomanPSMT"/>
          <w:sz w:val="24"/>
          <w:szCs w:val="24"/>
        </w:rPr>
        <w:t xml:space="preserve"> The particular processes by which individuals maintain this willful ignorance may vary (e.g. avoiding relevant evidence,</w:t>
      </w:r>
      <w:r w:rsidR="004C57BD" w:rsidRPr="00EC612A">
        <w:rPr>
          <w:rFonts w:ascii="Book Antiqua" w:hAnsi="Book Antiqua" w:cs="TimesNewRomanPSMT"/>
          <w:sz w:val="24"/>
          <w:szCs w:val="24"/>
          <w:vertAlign w:val="superscript"/>
        </w:rPr>
        <w:footnoteReference w:id="16"/>
      </w:r>
      <w:r w:rsidR="004C57BD" w:rsidRPr="00EC612A">
        <w:rPr>
          <w:rFonts w:ascii="Book Antiqua" w:hAnsi="Book Antiqua" w:cs="TimesNewRomanPSMT"/>
          <w:sz w:val="24"/>
          <w:szCs w:val="24"/>
        </w:rPr>
        <w:t xml:space="preserve"> failing to acquire interpretive resources,</w:t>
      </w:r>
      <w:r w:rsidR="004C57BD" w:rsidRPr="00EC612A">
        <w:rPr>
          <w:rFonts w:ascii="Book Antiqua" w:hAnsi="Book Antiqua" w:cs="TimesNewRomanPSMT"/>
          <w:sz w:val="24"/>
          <w:szCs w:val="24"/>
          <w:vertAlign w:val="superscript"/>
        </w:rPr>
        <w:footnoteReference w:id="17"/>
      </w:r>
      <w:r w:rsidR="004C57BD" w:rsidRPr="00EC612A">
        <w:rPr>
          <w:rFonts w:ascii="Book Antiqua" w:hAnsi="Book Antiqua" w:cs="TimesNewRomanPSMT"/>
          <w:sz w:val="24"/>
          <w:szCs w:val="24"/>
        </w:rPr>
        <w:t xml:space="preserve"> or refusing to considering relevant issues</w:t>
      </w:r>
      <w:r w:rsidR="004C57BD" w:rsidRPr="00EC612A">
        <w:rPr>
          <w:rFonts w:ascii="Book Antiqua" w:hAnsi="Book Antiqua" w:cs="TimesNewRomanPSMT"/>
          <w:sz w:val="24"/>
          <w:szCs w:val="24"/>
          <w:vertAlign w:val="superscript"/>
        </w:rPr>
        <w:footnoteReference w:id="18"/>
      </w:r>
      <w:r w:rsidR="004C57BD" w:rsidRPr="00EC612A">
        <w:rPr>
          <w:rFonts w:ascii="Book Antiqua" w:hAnsi="Book Antiqua" w:cs="TimesNewRomanPSMT"/>
          <w:sz w:val="24"/>
          <w:szCs w:val="24"/>
        </w:rPr>
        <w:t>). But importantly, on the Willful Ignorance View, white ignorance is the result of moves that white individuals make to avoid inconvenient truths about race and racial inequality.</w:t>
      </w:r>
    </w:p>
    <w:p w14:paraId="37333F34" w14:textId="77777777" w:rsidR="000475AD" w:rsidRPr="00EC612A" w:rsidRDefault="000475AD" w:rsidP="000475AD">
      <w:pPr>
        <w:tabs>
          <w:tab w:val="left" w:pos="1440"/>
          <w:tab w:val="left" w:pos="2160"/>
          <w:tab w:val="left" w:pos="2880"/>
        </w:tabs>
        <w:spacing w:line="360" w:lineRule="auto"/>
        <w:rPr>
          <w:rFonts w:ascii="Book Antiqua" w:hAnsi="Book Antiqua" w:cs="TimesNewRomanPSMT"/>
          <w:b/>
          <w:sz w:val="24"/>
          <w:szCs w:val="24"/>
        </w:rPr>
      </w:pPr>
    </w:p>
    <w:p w14:paraId="1CC0B778" w14:textId="77777777" w:rsidR="00D567D5" w:rsidRPr="00EC612A" w:rsidRDefault="004C57BD" w:rsidP="000475AD">
      <w:pPr>
        <w:tabs>
          <w:tab w:val="left" w:pos="1440"/>
          <w:tab w:val="left" w:pos="2160"/>
          <w:tab w:val="left" w:pos="2880"/>
        </w:tabs>
        <w:spacing w:line="360" w:lineRule="auto"/>
        <w:rPr>
          <w:rFonts w:ascii="Book Antiqua" w:hAnsi="Book Antiqua" w:cs="TimesNewRomanPSMT"/>
          <w:b/>
          <w:i/>
          <w:sz w:val="24"/>
          <w:szCs w:val="24"/>
        </w:rPr>
      </w:pPr>
      <w:r w:rsidRPr="00EC612A">
        <w:rPr>
          <w:rFonts w:ascii="Book Antiqua" w:hAnsi="Book Antiqua" w:cs="TimesNewRomanPSMT"/>
          <w:b/>
          <w:sz w:val="24"/>
          <w:szCs w:val="24"/>
        </w:rPr>
        <w:t>Assessment of the Willful Ignorance View</w:t>
      </w:r>
    </w:p>
    <w:p w14:paraId="6B0EF2DE" w14:textId="77777777" w:rsidR="00D567D5" w:rsidRPr="00EC612A" w:rsidRDefault="004C57BD" w:rsidP="000475AD">
      <w:pPr>
        <w:tabs>
          <w:tab w:val="left" w:pos="1440"/>
          <w:tab w:val="left" w:pos="2160"/>
          <w:tab w:val="left" w:pos="2880"/>
        </w:tabs>
        <w:spacing w:line="360" w:lineRule="auto"/>
        <w:rPr>
          <w:rFonts w:ascii="Book Antiqua" w:hAnsi="Book Antiqua" w:cs="TimesNewRomanPSMT"/>
          <w:b/>
          <w:sz w:val="24"/>
          <w:szCs w:val="24"/>
        </w:rPr>
      </w:pPr>
      <w:r w:rsidRPr="00EC612A">
        <w:rPr>
          <w:rFonts w:ascii="Book Antiqua" w:hAnsi="Book Antiqua" w:cs="TimesNewRomanPSMT"/>
          <w:b/>
          <w:i/>
          <w:sz w:val="24"/>
          <w:szCs w:val="24"/>
        </w:rPr>
        <w:t>Benefits of the Willful Ignorance View</w:t>
      </w:r>
    </w:p>
    <w:p w14:paraId="3788159A"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First, the Willful Ignorance View can account for why ignorance about racial matters is so widespread (1a), and in particular why it is so widespread among whites (1b): white individuals have a psychological and material interest in not knowing about the realities of white racial domination. Knowing the truth would make it more psychologically difficult to continue participating and benefitting from the processes that uphold their dominant status. As a result, they resist coming to know about these things, resulting in the observed patterns of ignorance.</w:t>
      </w:r>
    </w:p>
    <w:p w14:paraId="7AB17E99"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Second, the Willful Ignorance View also helps to make sense of the activeness of white ignorance (1d) and the persistence and stability of white racial domination (2). In general, ignorance about the realities of white racial domination would be expected to help preserve white racial domination by making it far less likely that the status quo will be challenged. But further, the willfulness of white ignorance both accounts for its resilience— because they do not want to know, people continue to be willfully ignorant even in the face of evidence and argumentation— and helps to account for the stability of white racial domination. It is not just that people do not recognize that there is a problem— and therefore do nothing to change it— but they </w:t>
      </w:r>
      <w:r w:rsidRPr="00EC612A">
        <w:rPr>
          <w:rFonts w:ascii="Book Antiqua" w:hAnsi="Book Antiqua" w:cs="TimesNewRomanPSMT"/>
          <w:i/>
          <w:sz w:val="24"/>
          <w:szCs w:val="24"/>
        </w:rPr>
        <w:t>refuse</w:t>
      </w:r>
      <w:r w:rsidRPr="00EC612A">
        <w:rPr>
          <w:rFonts w:ascii="Book Antiqua" w:hAnsi="Book Antiqua" w:cs="TimesNewRomanPSMT"/>
          <w:sz w:val="24"/>
          <w:szCs w:val="24"/>
        </w:rPr>
        <w:t xml:space="preserve"> to recognize that there is a problem, and therefore implicitly refuse to do anything about it. Thus, the Willful Ignorance View can help account for the stability of white racial domination.</w:t>
      </w:r>
    </w:p>
    <w:p w14:paraId="16ECF22C"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i/>
          <w:sz w:val="24"/>
          <w:szCs w:val="24"/>
        </w:rPr>
      </w:pPr>
    </w:p>
    <w:p w14:paraId="0652A2A1"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sz w:val="24"/>
          <w:szCs w:val="24"/>
        </w:rPr>
      </w:pPr>
      <w:r w:rsidRPr="00EC612A">
        <w:rPr>
          <w:rFonts w:ascii="Book Antiqua" w:hAnsi="Book Antiqua" w:cs="TimesNewRomanPSMT"/>
          <w:b/>
          <w:i/>
          <w:sz w:val="24"/>
          <w:szCs w:val="24"/>
        </w:rPr>
        <w:t>Costs of the Willful Ignorance View</w:t>
      </w:r>
    </w:p>
    <w:p w14:paraId="2B35B575"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But despite these virtues, the Willful Ignorance View has considerable shortcomings. The Willful Ignorance View struggles to make sense of why non-white individuals are also white ignorant (1b), as well as why the form and contents of individuals’ ignorance have tended to match over time (1c). Further, the Willful Ignorance View fails to provide explanatory coverage, making it overly narrow (3). </w:t>
      </w:r>
    </w:p>
    <w:p w14:paraId="467F217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First, the Willful Ignorance view would seem to exclude non-white white ignorance: for one, it is white individuals who experience the tension between wanting to retain their sense of being good people and continuing to reap the benefits of white racial domination, and further, the focus on the literature is explicitly on dominant agents.</w:t>
      </w:r>
      <w:r w:rsidRPr="00EC612A">
        <w:rPr>
          <w:rFonts w:ascii="Book Antiqua" w:hAnsi="Book Antiqua" w:cs="TimesNewRomanPSMT"/>
          <w:sz w:val="24"/>
          <w:szCs w:val="24"/>
          <w:vertAlign w:val="superscript"/>
        </w:rPr>
        <w:footnoteReference w:id="19"/>
      </w:r>
      <w:r w:rsidRPr="00EC612A">
        <w:rPr>
          <w:rFonts w:ascii="Book Antiqua" w:hAnsi="Book Antiqua" w:cs="TimesNewRomanPSMT"/>
          <w:sz w:val="24"/>
          <w:szCs w:val="24"/>
        </w:rPr>
        <w:t xml:space="preserve"> Yet it is not just white individuals who participate in these epistemic patterns—  for instance, 30% of Black Americans think that being Black either helps or doesn’t hurt people’s ability to get ahead in the U.S. these days.</w:t>
      </w:r>
      <w:r w:rsidRPr="00EC612A">
        <w:rPr>
          <w:rFonts w:ascii="Book Antiqua" w:hAnsi="Book Antiqua" w:cs="TimesNewRomanPSMT"/>
          <w:sz w:val="24"/>
          <w:szCs w:val="24"/>
          <w:vertAlign w:val="superscript"/>
        </w:rPr>
        <w:footnoteReference w:id="20"/>
      </w:r>
      <w:r w:rsidRPr="00EC612A">
        <w:rPr>
          <w:rFonts w:ascii="Book Antiqua" w:hAnsi="Book Antiqua" w:cs="TimesNewRomanPSMT"/>
          <w:sz w:val="24"/>
          <w:szCs w:val="24"/>
        </w:rPr>
        <w:t xml:space="preserve"> The Willful Ignorance view, as represented in the literature, does not account for this. Still, one could depart from the literature and more broadly consider how psychological and material interests could, to some extent, incentivize non-white individuals to be white ignorant. After all, it is psychologically difficult to reckon with being a victim of systemic injustice, and non-white individuals may be materially rewarded by dominant agents for ignoring the realities of white racial domination. Broadening the view in this way might enable it to account for the demographic patterns we observe. </w:t>
      </w:r>
    </w:p>
    <w:p w14:paraId="1633DBE0"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Second, it is not clear that the Willful Ignorance View can account for the ways in which so many individuals, both white and non-white, have tended to converge on the same forms of ignorance over time (e.g. from widespread false beliefs that Black people are naturally servile to widespread false beliefs that Black culture is to blame for racial disparities). The general worry is that are many ways of being ignorant about some matter: one could ignore the matter altogether, insist that the evidence is inconclusive and suspend judgment, or take on any of a large number of false beliefs. As such, merely appealing to an individual’s interest in being ignorant about some matter cannot explain why they are ignorant in the particular way they are. </w:t>
      </w:r>
    </w:p>
    <w:p w14:paraId="5E86EDB3"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Still, one may suggest an expansion of the Willful Ignorance View that says that in addition to a general interest in avoiding the truth about white racial domination, there also more particular social practices that incentivize certain forms of ignorance over others. For example, it could be said that biologically-racist views have fallen out of favor, such that one faces social costs for espousing these views. With enough practices like this, individuals could be incentivized to be ignorant in particular ways. </w:t>
      </w:r>
    </w:p>
    <w:p w14:paraId="7959D73F"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 xml:space="preserve">From a purely theoretical perspective, appealing to these more fine-grained practices could account for convergence, albeit by further expanding the view beyond what is seen in the literature. Nonetheless, it is dubious that the account in fact accounts for convergence across the board. For instance, consider various widespread, false, limiting stereotypes about non-white social groups— for example, that Black women are angry and aggressive, and that Latinas are feisty. While it is plausible that individuals will have an interest in believing </w:t>
      </w:r>
      <w:r w:rsidRPr="00EC612A">
        <w:rPr>
          <w:rFonts w:ascii="Book Antiqua" w:hAnsi="Book Antiqua" w:cs="TimesNewRomanPSMT"/>
          <w:i/>
          <w:sz w:val="24"/>
          <w:szCs w:val="24"/>
        </w:rPr>
        <w:t xml:space="preserve">some </w:t>
      </w:r>
      <w:r w:rsidRPr="00EC612A">
        <w:rPr>
          <w:rFonts w:ascii="Book Antiqua" w:hAnsi="Book Antiqua" w:cs="TimesNewRomanPSMT"/>
          <w:sz w:val="24"/>
          <w:szCs w:val="24"/>
        </w:rPr>
        <w:t xml:space="preserve">limiting characterization of non-white agents (so as to rationalize existing material inequalities without recognizing that there is some form of systemic injustice at play), it is not clear that individuals have an interest in believing </w:t>
      </w:r>
      <w:r w:rsidRPr="00EC612A">
        <w:rPr>
          <w:rFonts w:ascii="Book Antiqua" w:hAnsi="Book Antiqua" w:cs="TimesNewRomanPSMT"/>
          <w:i/>
          <w:sz w:val="24"/>
          <w:szCs w:val="24"/>
        </w:rPr>
        <w:t>these</w:t>
      </w:r>
      <w:r w:rsidRPr="00EC612A">
        <w:rPr>
          <w:rFonts w:ascii="Book Antiqua" w:hAnsi="Book Antiqua" w:cs="TimesNewRomanPSMT"/>
          <w:sz w:val="24"/>
          <w:szCs w:val="24"/>
        </w:rPr>
        <w:t xml:space="preserve"> limiting characterizations— why angry instead of timid? Why feisty instead of lazy? There do not seem to be social practices that explain this convergence by incentivizing individuals to have these false beliefs over others (although, as we will see in the next section, there are practices that would explain this convergence in other ways). This suggests that there is a failure of explanatory coverage here— there are important patterns of ignorance whose explanation is not covered by the Willful Ignorance View.</w:t>
      </w:r>
    </w:p>
    <w:p w14:paraId="06A38952"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sz w:val="24"/>
          <w:szCs w:val="24"/>
        </w:rPr>
      </w:pPr>
      <w:r w:rsidRPr="00EC612A">
        <w:rPr>
          <w:rFonts w:ascii="Book Antiqua" w:hAnsi="Book Antiqua" w:cs="TimesNewRomanPSMT"/>
          <w:sz w:val="24"/>
          <w:szCs w:val="24"/>
        </w:rPr>
        <w:t>For another example indicating that the Willful Ignorance View fails to provide explanatory coverage (3), consider the following case:</w:t>
      </w:r>
      <w:r w:rsidRPr="00EC612A">
        <w:rPr>
          <w:rFonts w:ascii="Book Antiqua" w:hAnsi="Book Antiqua" w:cs="TimesNewRomanPSMT"/>
          <w:sz w:val="24"/>
          <w:szCs w:val="24"/>
          <w:vertAlign w:val="superscript"/>
        </w:rPr>
        <w:footnoteReference w:id="21"/>
      </w:r>
    </w:p>
    <w:p w14:paraId="4AD7C4F6"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85" w:right="690" w:hanging="106"/>
        <w:rPr>
          <w:rFonts w:ascii="Book Antiqua" w:hAnsi="Book Antiqua" w:cs="TimesNewRomanPSMT"/>
          <w:kern w:val="1"/>
          <w:sz w:val="24"/>
          <w:szCs w:val="24"/>
        </w:rPr>
      </w:pPr>
      <w:r w:rsidRPr="00EC612A">
        <w:rPr>
          <w:rFonts w:ascii="Book Antiqua" w:hAnsi="Book Antiqua" w:cs="Cochin"/>
          <w:b/>
          <w:sz w:val="22"/>
          <w:szCs w:val="24"/>
        </w:rPr>
        <w:t>[Racial Exclusion]</w:t>
      </w:r>
      <w:r w:rsidRPr="00EC612A">
        <w:rPr>
          <w:rFonts w:ascii="Book Antiqua" w:hAnsi="Book Antiqua" w:cs="Cochin"/>
          <w:sz w:val="22"/>
          <w:szCs w:val="24"/>
        </w:rPr>
        <w:t xml:space="preserve"> Like many Americans, Rebecca believes the popular patriotic narrative that America is a land of opportunity that has historically welcomed all people, regardless of race or creed. However, she does not know that it was not until the Immigration and Nationality Act of 1952 that it became possible for non-white residents to become naturalized citizens, or that this same act reinforced a system of racial immigration quotas, capping the immigration of persons descended from the “Asia-Pacific triangle” to only 2,000 per year.</w:t>
      </w:r>
      <w:r w:rsidRPr="00EC612A">
        <w:rPr>
          <w:rFonts w:ascii="Book Antiqua" w:hAnsi="Book Antiqua" w:cs="Cochin"/>
          <w:sz w:val="22"/>
          <w:szCs w:val="24"/>
          <w:vertAlign w:val="superscript"/>
        </w:rPr>
        <w:footnoteReference w:id="22"/>
      </w:r>
    </w:p>
    <w:p w14:paraId="52ABF7B8" w14:textId="77777777" w:rsidR="00D567D5" w:rsidRPr="00EC612A" w:rsidRDefault="00D567D5" w:rsidP="000475AD">
      <w:pPr>
        <w:tabs>
          <w:tab w:val="left" w:pos="1440"/>
          <w:tab w:val="left" w:pos="2160"/>
          <w:tab w:val="left" w:pos="2880"/>
        </w:tabs>
        <w:spacing w:line="360" w:lineRule="auto"/>
        <w:ind w:firstLine="720"/>
        <w:rPr>
          <w:rFonts w:ascii="Book Antiqua" w:hAnsi="Book Antiqua" w:cs="TimesNewRomanPSMT"/>
          <w:kern w:val="1"/>
          <w:sz w:val="24"/>
          <w:szCs w:val="24"/>
        </w:rPr>
      </w:pPr>
    </w:p>
    <w:p w14:paraId="2A4B2C5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reflects a paradigmatic instance of white ignorance and so, to satisfy 3b, an account of white ignorance should be able to adequately cover its explanation. However,</w:t>
      </w:r>
      <w:r w:rsidRPr="00EC612A">
        <w:rPr>
          <w:rFonts w:ascii="Book Antiqua" w:hAnsi="Book Antiqua" w:cs="TimesNewRomanPSMT"/>
          <w:color w:val="FF0000"/>
          <w:kern w:val="1"/>
          <w:sz w:val="24"/>
          <w:szCs w:val="24"/>
        </w:rPr>
        <w:t xml:space="preserve"> </w:t>
      </w:r>
      <w:r w:rsidRPr="00EC612A">
        <w:rPr>
          <w:rFonts w:ascii="Book Antiqua" w:hAnsi="Book Antiqua" w:cs="TimesNewRomanPSMT"/>
          <w:kern w:val="1"/>
          <w:sz w:val="24"/>
          <w:szCs w:val="24"/>
        </w:rPr>
        <w:t xml:space="preserve">merely attributing Rebecca’s ignorance to motivated reasoning or individual avoidance misses a significant part of the story: faulty educational practices. Depending on how old Rebecca is, we can grant that there is a willful component here. But this is insufficient. Adequately explaining Rebecca’s ignorance also requires appealing to social practices that propagate the patriotic narrative and obscure the history that goes against the narrative. Thus, even if we were to grant that the Willful Ignorance View can identify this as a case of white ignorance, the account is too limited to adequately cover the explanation of cases like </w:t>
      </w:r>
      <w:r w:rsidRPr="00EC612A">
        <w:rPr>
          <w:rFonts w:ascii="Book Antiqua" w:hAnsi="Book Antiqua" w:cs="TimesNewRomanPSMT"/>
          <w:i/>
          <w:kern w:val="1"/>
          <w:sz w:val="24"/>
          <w:szCs w:val="24"/>
        </w:rPr>
        <w:t xml:space="preserve">Racial Exclusion, </w:t>
      </w:r>
      <w:r w:rsidRPr="00EC612A">
        <w:rPr>
          <w:rFonts w:ascii="Book Antiqua" w:hAnsi="Book Antiqua" w:cs="TimesNewRomanPSMT"/>
          <w:kern w:val="1"/>
          <w:sz w:val="24"/>
          <w:szCs w:val="24"/>
        </w:rPr>
        <w:t>and so fails to satisfy 3b.</w:t>
      </w:r>
    </w:p>
    <w:p w14:paraId="1B134247"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42C18D7F" w14:textId="4CE24B6D"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3. The Cognitivist View</w:t>
      </w:r>
    </w:p>
    <w:p w14:paraId="165E269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The second view I will consider is the Cognitivist View. The Cognitivist View is my reconstruction of what I take to be the most dominant view (and, in particular, Mills’ view.)</w:t>
      </w:r>
      <w:r w:rsidRPr="00EC612A">
        <w:rPr>
          <w:rFonts w:ascii="Book Antiqua" w:hAnsi="Book Antiqua" w:cs="TimesNewRomanPSMT"/>
          <w:kern w:val="1"/>
          <w:sz w:val="24"/>
          <w:szCs w:val="24"/>
          <w:vertAlign w:val="superscript"/>
        </w:rPr>
        <w:footnoteReference w:id="23"/>
      </w:r>
      <w:r w:rsidRPr="00EC612A">
        <w:rPr>
          <w:rFonts w:ascii="Book Antiqua" w:hAnsi="Book Antiqua" w:cs="TimesNewRomanPSMT"/>
          <w:kern w:val="1"/>
          <w:sz w:val="24"/>
          <w:szCs w:val="24"/>
        </w:rPr>
        <w:t xml:space="preserve"> </w:t>
      </w:r>
    </w:p>
    <w:p w14:paraId="34FB4673"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On the Cognitivist View, white ignorance is ignorance that results from faulty reasoning, where, importantly, the faulty reasoning is explained by social practices that affect agents’ reasoning about racial matters.</w:t>
      </w:r>
      <w:r w:rsidRPr="00EC612A">
        <w:rPr>
          <w:rFonts w:ascii="Book Antiqua" w:hAnsi="Book Antiqua" w:cs="TimesNewRomanPSMT"/>
          <w:kern w:val="1"/>
          <w:sz w:val="24"/>
          <w:szCs w:val="24"/>
          <w:vertAlign w:val="superscript"/>
        </w:rPr>
        <w:footnoteReference w:id="24"/>
      </w:r>
      <w:r w:rsidRPr="00EC612A">
        <w:rPr>
          <w:rFonts w:ascii="Book Antiqua" w:hAnsi="Book Antiqua" w:cs="TimesNewRomanPSMT"/>
          <w:kern w:val="1"/>
          <w:sz w:val="24"/>
          <w:szCs w:val="24"/>
        </w:rPr>
        <w:t xml:space="preserve"> As such, on the Cognitivist View, white ignorance is the result of some cognitive error that results from having one’s mental processes shaped by epistemically defective social practices.</w:t>
      </w:r>
    </w:p>
    <w:p w14:paraId="26CA6A3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There are various ways in which social practices can set individuals up for epistemic failure in accordance with the Cognitivist View. Social practices may: promote faulty norms of reasoning that individuals mistakenly take to be valid;</w:t>
      </w:r>
      <w:r w:rsidRPr="00EC612A">
        <w:rPr>
          <w:rFonts w:ascii="Book Antiqua" w:hAnsi="Book Antiqua" w:cs="TimesNewRomanPSMT"/>
          <w:kern w:val="1"/>
          <w:sz w:val="24"/>
          <w:szCs w:val="24"/>
          <w:vertAlign w:val="superscript"/>
        </w:rPr>
        <w:footnoteReference w:id="25"/>
      </w:r>
      <w:r w:rsidRPr="00EC612A">
        <w:rPr>
          <w:rFonts w:ascii="Book Antiqua" w:hAnsi="Book Antiqua" w:cs="TimesNewRomanPSMT"/>
          <w:kern w:val="1"/>
          <w:sz w:val="24"/>
          <w:szCs w:val="24"/>
        </w:rPr>
        <w:t xml:space="preserve"> cast false premises (e.g. “natives are savages”) as “common knowledge;”</w:t>
      </w:r>
      <w:r w:rsidRPr="00EC612A">
        <w:rPr>
          <w:rFonts w:ascii="Book Antiqua" w:hAnsi="Book Antiqua" w:cs="TimesNewRomanPSMT"/>
          <w:kern w:val="1"/>
          <w:sz w:val="24"/>
          <w:szCs w:val="24"/>
          <w:vertAlign w:val="superscript"/>
        </w:rPr>
        <w:footnoteReference w:id="26"/>
      </w:r>
      <w:r w:rsidRPr="00EC612A">
        <w:rPr>
          <w:rFonts w:ascii="Book Antiqua" w:hAnsi="Book Antiqua" w:cs="TimesNewRomanPSMT"/>
          <w:kern w:val="1"/>
          <w:sz w:val="24"/>
          <w:szCs w:val="24"/>
        </w:rPr>
        <w:t xml:space="preserve"> leave agents hermeneutically impoverished for recognizing the injustice at play;</w:t>
      </w:r>
      <w:r w:rsidRPr="00EC612A">
        <w:rPr>
          <w:rFonts w:ascii="Book Antiqua" w:hAnsi="Book Antiqua" w:cs="TimesNewRomanPSMT"/>
          <w:kern w:val="1"/>
          <w:sz w:val="24"/>
          <w:szCs w:val="24"/>
          <w:vertAlign w:val="superscript"/>
        </w:rPr>
        <w:footnoteReference w:id="27"/>
      </w:r>
      <w:r w:rsidRPr="00EC612A">
        <w:rPr>
          <w:rFonts w:ascii="Book Antiqua" w:hAnsi="Book Antiqua" w:cs="TimesNewRomanPSMT"/>
          <w:kern w:val="1"/>
          <w:sz w:val="24"/>
          <w:szCs w:val="24"/>
        </w:rPr>
        <w:t xml:space="preserve"> set agents up for prejudiced testimonial sensibilities, so that they take marginalized knowers with insights about their oppression to be less credible than they actually are; or incentivize individuals to engage in motivated reasoning and avoidance. What unifies these is the idea that there are a variety of social practices that affect how individuals think and reason about matters of racial injustice in a way that makes it more likely that agents will get things wrong. On the Cognitivist View, white ignorance is ignorance that results from just such cognition-affecting practices.</w:t>
      </w:r>
    </w:p>
    <w:p w14:paraId="20745FD4"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0FA550FF" w14:textId="2B8D0994"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Assessment of the Cognitivist View</w:t>
      </w:r>
    </w:p>
    <w:p w14:paraId="542108F3"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i/>
          <w:kern w:val="1"/>
          <w:sz w:val="24"/>
          <w:szCs w:val="24"/>
        </w:rPr>
        <w:t>Benefits of the Cognitivist View</w:t>
      </w:r>
    </w:p>
    <w:p w14:paraId="1261229B"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First, the Cognitivist View is better able to explain convergence with respect to the form and contents that white ignorance takes (1c). The view can explain why individuals tend to go wrong in the same ways by noting that social practices will tend to supply individuals with roughly the same faulty cognitive resources. Moreover, as those social practices evolve, so do the contents of the false beliefs that people tend to hold, thereby explaining inter-personal convergence over time. </w:t>
      </w:r>
    </w:p>
    <w:p w14:paraId="33793CFF"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Similarly, the appeal to social practices helps explain demographic patterns (1b). The Cognitivist View can explain non-white white ignorance by noting that marginalized individuals can be socialized into practices that are contrary to their interests, while also noting that marginalized knowers will tend to have better access to contravening evidence, and thereby be better positioned (and so more likely) to escape the grip of these epistemically-defective social practices.</w:t>
      </w:r>
      <w:r w:rsidRPr="00EC612A">
        <w:rPr>
          <w:rFonts w:ascii="Book Antiqua" w:hAnsi="Book Antiqua" w:cs="TimesNewRomanPSMT"/>
          <w:kern w:val="1"/>
          <w:sz w:val="24"/>
          <w:szCs w:val="24"/>
          <w:vertAlign w:val="superscript"/>
        </w:rPr>
        <w:footnoteReference w:id="28"/>
      </w:r>
    </w:p>
    <w:p w14:paraId="4D25CE50"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Further, the Cognitivist View offers a richer explanation of the resilience of white ignorance (1d) because it can point to particular ideological resources that help white ignorant agents dismiss arguments and explain away evidence.</w:t>
      </w:r>
      <w:r w:rsidRPr="00EC612A">
        <w:rPr>
          <w:rFonts w:ascii="Book Antiqua" w:hAnsi="Book Antiqua" w:cs="TimesNewRomanPSMT"/>
          <w:kern w:val="1"/>
          <w:sz w:val="24"/>
          <w:szCs w:val="24"/>
          <w:vertAlign w:val="superscript"/>
        </w:rPr>
        <w:footnoteReference w:id="29"/>
      </w:r>
      <w:r w:rsidRPr="00EC612A">
        <w:rPr>
          <w:rFonts w:ascii="Book Antiqua" w:hAnsi="Book Antiqua" w:cs="TimesNewRomanPSMT"/>
          <w:kern w:val="1"/>
          <w:sz w:val="24"/>
          <w:szCs w:val="24"/>
        </w:rPr>
        <w:t xml:space="preserve"> This not only adds an important layer to the challenges one must face when attempting to eradicate white ignorance— and so better helps account for the stability of white racial domination (2b)— but also suggests ideas for practical intervention (e.g. engaging in conceptual engineering,</w:t>
      </w:r>
      <w:r w:rsidRPr="00EC612A">
        <w:rPr>
          <w:rFonts w:ascii="Book Antiqua" w:hAnsi="Book Antiqua" w:cs="TimesNewRomanPSMT"/>
          <w:kern w:val="1"/>
          <w:sz w:val="24"/>
          <w:szCs w:val="24"/>
          <w:vertAlign w:val="superscript"/>
        </w:rPr>
        <w:footnoteReference w:id="30"/>
      </w:r>
      <w:r w:rsidRPr="00EC612A">
        <w:rPr>
          <w:rFonts w:ascii="Book Antiqua" w:hAnsi="Book Antiqua" w:cs="TimesNewRomanPSMT"/>
          <w:kern w:val="1"/>
          <w:sz w:val="24"/>
          <w:szCs w:val="24"/>
        </w:rPr>
        <w:t xml:space="preserve"> casting doubt on “common sense” background assumptions, and critiquing defective “norms.”)</w:t>
      </w:r>
    </w:p>
    <w:p w14:paraId="3E68BE6F"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Finally, the Cognitivist View is more explanatorily complete (3)</w:t>
      </w:r>
      <w:r w:rsidRPr="00EC612A">
        <w:rPr>
          <w:rFonts w:ascii="Book Antiqua" w:hAnsi="Book Antiqua" w:cs="TimesNewRomanPSMT"/>
          <w:i/>
          <w:kern w:val="1"/>
          <w:sz w:val="24"/>
          <w:szCs w:val="24"/>
        </w:rPr>
        <w:t xml:space="preserve">. </w:t>
      </w:r>
      <w:r w:rsidRPr="00EC612A">
        <w:rPr>
          <w:rFonts w:ascii="Book Antiqua" w:hAnsi="Book Antiqua" w:cs="TimesNewRomanPSMT"/>
          <w:kern w:val="1"/>
          <w:sz w:val="24"/>
          <w:szCs w:val="24"/>
        </w:rPr>
        <w:t xml:space="preserve">Again, part of what explains Rebecca’s ignorance in </w:t>
      </w: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is repeated exposure to the patriotic narrative that America is a land that welcomes all. The Cognitivist View, but not the Willful Ignorance View, is able to capture this.</w:t>
      </w:r>
    </w:p>
    <w:p w14:paraId="5CB54A21"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i/>
          <w:kern w:val="1"/>
          <w:sz w:val="24"/>
          <w:szCs w:val="24"/>
        </w:rPr>
      </w:pPr>
    </w:p>
    <w:p w14:paraId="535E8D54"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i/>
          <w:kern w:val="1"/>
          <w:sz w:val="24"/>
          <w:szCs w:val="24"/>
        </w:rPr>
        <w:t>Costs of the Cognitivist View</w:t>
      </w:r>
    </w:p>
    <w:p w14:paraId="6D60A3A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Although the Cognitivist View has significant advantages over the Willful Ignorance View, the view also has significant shortcomings. </w:t>
      </w:r>
    </w:p>
    <w:p w14:paraId="2F736390"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First and most foremost, it is still too explanatorily narrow (3b), because it overlooks social practices that promote domination-sustaining patterns of ignorance without directly affecting agents’ cognitive processes.</w:t>
      </w:r>
    </w:p>
    <w:p w14:paraId="78BF44C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Recall </w:t>
      </w: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To adequately cover what is going on in the case, we must not only capture the fact that social practices supply Rebecca with false premises, but also the fact that she is affected by upstream processes of historic erasure. Specifically, she is affected by institutional policies that have curated the contents of her curriculum so as to exclude lessons about institutional racism. These practices promote Rebecca’s ignorance, not by supplying her with faulty premises or norms of reasoning, but by keeping important information away from her and her peers— or at least, making it more difficult to access. These practices don’t work by intervening on Rebecca’s reasoning. Rather, these practices intervene upstream of her cognitive processes by shaping what information is available for her to reason about to begin with. The Cognitivist View cannot capture this second, significant explanatory dimension.</w:t>
      </w:r>
    </w:p>
    <w:p w14:paraId="5CBE92B5"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While I take the failure of explanatory coverage to be the most decisive critique of the Cognitivist View, there are two more minor criticisms that are worth mentioning. First, note that the Cognitivist View falls short when explaining the form that individuals’ ignorance takes. While it can explain why it is that individuals have certain false beliefs, and plausibly also why they suspend judgment in particular cases, the account has a harder time explaining why individuals lack beliefs about certain subjects altogether. Consider not Rebecca’s </w:t>
      </w:r>
      <w:r w:rsidRPr="00EC612A">
        <w:rPr>
          <w:rFonts w:ascii="Book Antiqua" w:hAnsi="Book Antiqua" w:cs="TimesNewRomanPSMT"/>
          <w:i/>
          <w:kern w:val="1"/>
          <w:sz w:val="24"/>
          <w:szCs w:val="24"/>
        </w:rPr>
        <w:t>false belief</w:t>
      </w:r>
      <w:r w:rsidRPr="00EC612A">
        <w:rPr>
          <w:rFonts w:ascii="Book Antiqua" w:hAnsi="Book Antiqua" w:cs="TimesNewRomanPSMT"/>
          <w:kern w:val="1"/>
          <w:sz w:val="24"/>
          <w:szCs w:val="24"/>
        </w:rPr>
        <w:t xml:space="preserve"> about her country’s historical attitude toward non-white immigrants, but her </w:t>
      </w:r>
      <w:r w:rsidRPr="00EC612A">
        <w:rPr>
          <w:rFonts w:ascii="Book Antiqua" w:hAnsi="Book Antiqua" w:cs="TimesNewRomanPSMT"/>
          <w:i/>
          <w:kern w:val="1"/>
          <w:sz w:val="24"/>
          <w:szCs w:val="24"/>
        </w:rPr>
        <w:t>lack of belief</w:t>
      </w:r>
      <w:r w:rsidRPr="00EC612A">
        <w:rPr>
          <w:rFonts w:ascii="Book Antiqua" w:hAnsi="Book Antiqua" w:cs="TimesNewRomanPSMT"/>
          <w:kern w:val="1"/>
          <w:sz w:val="24"/>
          <w:szCs w:val="24"/>
        </w:rPr>
        <w:t xml:space="preserve"> about the racist immigration policies. The Cognitivist View cannot explain why she lacks beliefs about these matters, because this is not the result of faulty cognitive resources.</w:t>
      </w:r>
      <w:r w:rsidRPr="00EC612A">
        <w:rPr>
          <w:rFonts w:ascii="Book Antiqua" w:hAnsi="Book Antiqua" w:cs="TimesNewRomanPSMT"/>
          <w:kern w:val="1"/>
          <w:sz w:val="24"/>
          <w:szCs w:val="24"/>
          <w:vertAlign w:val="superscript"/>
        </w:rPr>
        <w:footnoteReference w:id="31"/>
      </w:r>
    </w:p>
    <w:p w14:paraId="31E9CC40"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43C9F8EA" w14:textId="447B7BF0"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4. The Structuralist View</w:t>
      </w:r>
    </w:p>
    <w:p w14:paraId="365EF6EF"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We have seen that a major failing of both the Willful Ignorance View and the Cognitivist View is a failure to account for the variety of ways in which social practices can promote ignorance—  not just by creating conditions that incentivize willful ignorance, nor influencing what goes on in agents’ minds, but also, for instance, by creating external barriers to knowledge. To address these failures of explanatory coverage, I propose the Structuralist View.</w:t>
      </w:r>
    </w:p>
    <w:p w14:paraId="74340510"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On the Structuralist View, white ignorance refers to ignorance that, first, systematically arises as part of some social structural process(es) that systematically gives rise to racial injustice. This is similar to the Cognitivist and Willful Ignorance Views insofar as these each identify one such class of social structural processes. But the Structuralist View is more general: it is not limited to social practices that give rise to ignorance and social injustice by way of cognition-affecting social practices, nor to social practices that give rise to ignorance and social injustice by way of incentivizing individuals to ignore these injustices; rather, it is open to </w:t>
      </w:r>
      <w:r w:rsidRPr="00EC612A">
        <w:rPr>
          <w:rFonts w:ascii="Book Antiqua" w:hAnsi="Book Antiqua" w:cs="TimesNewRomanPSMT"/>
          <w:i/>
          <w:kern w:val="1"/>
          <w:sz w:val="24"/>
          <w:szCs w:val="24"/>
        </w:rPr>
        <w:t>any kind</w:t>
      </w:r>
      <w:r w:rsidRPr="00EC612A">
        <w:rPr>
          <w:rFonts w:ascii="Book Antiqua" w:hAnsi="Book Antiqua" w:cs="TimesNewRomanPSMT"/>
          <w:kern w:val="1"/>
          <w:sz w:val="24"/>
          <w:szCs w:val="24"/>
        </w:rPr>
        <w:t xml:space="preserve"> of social structural process. </w:t>
      </w:r>
    </w:p>
    <w:p w14:paraId="0AB339A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Second, the Structuralist View also requires that the ignorance that arises through these processes is not an incidental by-product of these processes, but is rather an active player in them. That is, it must be, at least in part, through their systematic epistemic effects that these social structural processes systematically contribute to and help sustain white racial domination. To illustrate these ideas, consider the following case: </w:t>
      </w:r>
    </w:p>
    <w:p w14:paraId="3FCAECEE" w14:textId="6BC44036" w:rsidR="00D567D5" w:rsidRPr="004A21C4" w:rsidRDefault="004C57BD" w:rsidP="004A2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85" w:right="690" w:hanging="106"/>
        <w:rPr>
          <w:rFonts w:ascii="Book Antiqua" w:hAnsi="Book Antiqua" w:cs="TimesNewRomanPSMT"/>
          <w:color w:val="FF0000"/>
          <w:kern w:val="1"/>
          <w:sz w:val="24"/>
          <w:szCs w:val="24"/>
        </w:rPr>
      </w:pPr>
      <w:r w:rsidRPr="00EC612A">
        <w:rPr>
          <w:rFonts w:ascii="Book Antiqua" w:hAnsi="Book Antiqua" w:cs="Cochin"/>
          <w:b/>
          <w:kern w:val="1"/>
          <w:sz w:val="22"/>
          <w:szCs w:val="24"/>
        </w:rPr>
        <w:t>[Overburdened]</w:t>
      </w:r>
      <w:r w:rsidRPr="00EC612A">
        <w:rPr>
          <w:rFonts w:ascii="Book Antiqua" w:hAnsi="Book Antiqua" w:cs="Cochin"/>
          <w:kern w:val="1"/>
          <w:sz w:val="22"/>
          <w:szCs w:val="24"/>
        </w:rPr>
        <w:t xml:space="preserve"> By virtue of unfair gender norms, Dr. Grey is constantly overburdened by service work. Although she knows that she ought to keep up with the latest medical research, she decides to forego reading the most recent issue of the journal she usually reads. As it happens, this issue revealed an important new treatment for sickle cell anemia (a condition that predominantly affects patients of African and Afro-Caribbean descent in the U.K.).</w:t>
      </w:r>
    </w:p>
    <w:p w14:paraId="66F0398E"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Dr. Grey’s ignorance is a result of a social structural process (i.e. the enforcement of gender norms) and results in a racial disparity: she is able to offer her white patients, but not her Black patients, the best treatment available for their ailments. But, although this disparity is significant, unfortunate, and plausibly unjust, Dr. Grey’s ignorance does not amount to white ignorance on the Structuralist View: the gender norms at play do not systematically give rise to racial injustice, and it is only incidentally that they give rise to ignorance that contributes to racial injustice in this case. Contrast this with a version in which she neglected to read this particular issue because of norms that de-prioritize the wellness of patients of color. In this version, Dr. Grey’s ignorance and the resulting disparities are not coincidental, but result from a norm that systematically makes people of color worse off, in part by systematically incentivizing people like Dr. Grey to remain ignorant about how to best treat their patients of color. </w:t>
      </w:r>
    </w:p>
    <w:p w14:paraId="28DCE749"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This characterization of the Structuralist View clearly relies on intuitive notions like “systematically arising” and “incidental by-product.” Although I am happy to import whatever the best account of these intuitive notions might be, one way to flesh these out is to anchor them to Cummins’ conception of functional analysis. </w:t>
      </w:r>
      <w:r w:rsidR="005F7717" w:rsidRPr="00EC612A">
        <w:rPr>
          <w:rFonts w:ascii="Book Antiqua" w:hAnsi="Book Antiqua" w:cs="TimesNewRomanPSMT"/>
          <w:kern w:val="1"/>
          <w:sz w:val="24"/>
          <w:szCs w:val="24"/>
        </w:rPr>
        <w:fldChar w:fldCharType="begin"/>
      </w:r>
      <w:r w:rsidR="005F7717" w:rsidRPr="00EC612A">
        <w:rPr>
          <w:rFonts w:ascii="Book Antiqua" w:hAnsi="Book Antiqua" w:cs="TimesNewRomanPSMT"/>
          <w:kern w:val="1"/>
          <w:sz w:val="24"/>
          <w:szCs w:val="24"/>
        </w:rPr>
        <w:instrText xml:space="preserve"> ADDIN EN.CITE &lt;EndNote&gt;&lt;Cite&gt;&lt;Author&gt;Cummins&lt;/Author&gt;&lt;Year&gt;1975&lt;/Year&gt;&lt;RecNum&gt;193&lt;/RecNum&gt;&lt;DisplayText&gt;(Cummins, 1975)&lt;/DisplayText&gt;&lt;record&gt;&lt;rec-number&gt;193&lt;/rec-number&gt;&lt;foreign-keys&gt;&lt;key app="EN" db-id="wtx9x9fxza9rpfetafo5axztvavvdtzzx55d" timestamp="1592838616" guid="fd6c43e3-f409-4a3a-8582-56024599417c"&gt;193&lt;/key&gt;&lt;/foreign-keys&gt;&lt;ref-type name="Journal Article"&gt;17&lt;/ref-type&gt;&lt;contributors&gt;&lt;authors&gt;&lt;author&gt;Cummins, Robert&lt;/author&gt;&lt;/authors&gt;&lt;/contributors&gt;&lt;titles&gt;&lt;title&gt;Functional analysis&lt;/title&gt;&lt;secondary-title&gt;Journal of Philosophy&lt;/secondary-title&gt;&lt;/titles&gt;&lt;periodical&gt;&lt;full-title&gt;Journal of Philosophy&lt;/full-title&gt;&lt;/periodical&gt;&lt;pages&gt;741-64&lt;/pages&gt;&lt;volume&gt;72&lt;/volume&gt;&lt;number&gt;November&lt;/number&gt;&lt;dates&gt;&lt;year&gt;1975&lt;/year&gt;&lt;/dates&gt;&lt;urls&gt;&lt;/urls&gt;&lt;/record&gt;&lt;/Cite&gt;&lt;/EndNote&gt;</w:instrText>
      </w:r>
      <w:r w:rsidR="005F7717" w:rsidRPr="00EC612A">
        <w:rPr>
          <w:rFonts w:ascii="Book Antiqua" w:hAnsi="Book Antiqua" w:cs="TimesNewRomanPSMT"/>
          <w:kern w:val="1"/>
          <w:sz w:val="24"/>
          <w:szCs w:val="24"/>
        </w:rPr>
        <w:fldChar w:fldCharType="separate"/>
      </w:r>
      <w:r w:rsidR="005F7717" w:rsidRPr="00EC612A">
        <w:rPr>
          <w:rFonts w:ascii="Book Antiqua" w:hAnsi="Book Antiqua" w:cs="TimesNewRomanPSMT"/>
          <w:noProof/>
          <w:kern w:val="1"/>
          <w:sz w:val="24"/>
          <w:szCs w:val="24"/>
        </w:rPr>
        <w:t>(</w:t>
      </w:r>
      <w:hyperlink w:anchor="_ENREF_10" w:tooltip="Cummins, 1975 #193" w:history="1">
        <w:r w:rsidR="005F7717" w:rsidRPr="00EC612A">
          <w:rPr>
            <w:rFonts w:ascii="Book Antiqua" w:hAnsi="Book Antiqua" w:cs="TimesNewRomanPSMT"/>
            <w:noProof/>
            <w:kern w:val="1"/>
            <w:sz w:val="24"/>
            <w:szCs w:val="24"/>
          </w:rPr>
          <w:t>Cummins, 1975</w:t>
        </w:r>
      </w:hyperlink>
      <w:r w:rsidR="005F7717" w:rsidRPr="00EC612A">
        <w:rPr>
          <w:rFonts w:ascii="Book Antiqua" w:hAnsi="Book Antiqua" w:cs="TimesNewRomanPSMT"/>
          <w:noProof/>
          <w:kern w:val="1"/>
          <w:sz w:val="24"/>
          <w:szCs w:val="24"/>
        </w:rPr>
        <w:t>)</w:t>
      </w:r>
      <w:r w:rsidR="005F7717" w:rsidRPr="00EC612A">
        <w:rPr>
          <w:rFonts w:ascii="Book Antiqua" w:hAnsi="Book Antiqua" w:cs="TimesNewRomanPSMT"/>
          <w:kern w:val="1"/>
          <w:sz w:val="24"/>
          <w:szCs w:val="24"/>
        </w:rPr>
        <w:fldChar w:fldCharType="end"/>
      </w:r>
      <w:r w:rsidRPr="00EC612A">
        <w:rPr>
          <w:rFonts w:ascii="Book Antiqua" w:hAnsi="Book Antiqua" w:cs="TimesNewRomanPSMT"/>
          <w:kern w:val="1"/>
          <w:sz w:val="24"/>
          <w:szCs w:val="24"/>
        </w:rPr>
        <w:t xml:space="preserve"> rejects two standard assumptions about functional analysis and explanation: </w:t>
      </w:r>
    </w:p>
    <w:p w14:paraId="3DA1A82C"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Cochin"/>
          <w:kern w:val="1"/>
          <w:sz w:val="24"/>
          <w:szCs w:val="24"/>
        </w:rPr>
      </w:pPr>
      <w:r w:rsidRPr="00EC612A">
        <w:rPr>
          <w:rFonts w:ascii="Book Antiqua" w:hAnsi="Book Antiqua" w:cs="Cochin"/>
          <w:kern w:val="1"/>
          <w:sz w:val="24"/>
          <w:szCs w:val="24"/>
        </w:rPr>
        <w:t>(a) The point of functional analysis is to explain the presence or existence of F (e.g. why do mammals have hearts?)</w:t>
      </w:r>
    </w:p>
    <w:p w14:paraId="7DBD72DA"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Cochin"/>
          <w:kern w:val="1"/>
          <w:sz w:val="24"/>
          <w:szCs w:val="24"/>
        </w:rPr>
      </w:pPr>
      <w:r w:rsidRPr="00EC612A">
        <w:rPr>
          <w:rFonts w:ascii="Book Antiqua" w:hAnsi="Book Antiqua" w:cs="Cochin"/>
          <w:kern w:val="1"/>
          <w:sz w:val="24"/>
          <w:szCs w:val="24"/>
        </w:rPr>
        <w:t>(b) What it is for F to perform function f is for F to have certain effects on a containing system that contribute to some feature or activity of the containing system. (E.g. what it is for the heart to perform the function of pumping blood is for it to have certain effects (viz. blood-pumping) that contribute to the survival of the body)</w:t>
      </w:r>
    </w:p>
    <w:p w14:paraId="67EC1159" w14:textId="1CBBCD6B" w:rsidR="00D567D5" w:rsidRPr="00EC612A" w:rsidRDefault="004C57BD" w:rsidP="004A21C4">
      <w:pPr>
        <w:tabs>
          <w:tab w:val="left" w:pos="1440"/>
          <w:tab w:val="left" w:pos="2160"/>
          <w:tab w:val="left" w:pos="2880"/>
        </w:tabs>
        <w:spacing w:line="360" w:lineRule="auto"/>
        <w:rPr>
          <w:rFonts w:ascii="Book Antiqua" w:hAnsi="Book Antiqua" w:cs="TimesNewRomanPSMT"/>
          <w:kern w:val="1"/>
          <w:sz w:val="24"/>
          <w:szCs w:val="24"/>
        </w:rPr>
      </w:pPr>
      <w:r w:rsidRPr="00EC612A">
        <w:rPr>
          <w:rFonts w:ascii="Book Antiqua" w:hAnsi="Book Antiqua" w:cs="TimesNewRomanPSMT"/>
          <w:kern w:val="1"/>
          <w:sz w:val="24"/>
          <w:szCs w:val="24"/>
        </w:rPr>
        <w:t xml:space="preserve">Instead, Cummins’ idea is that what functional analysis helps us do is to break down a complex system into the product of several, simpler processes: </w:t>
      </w:r>
    </w:p>
    <w:p w14:paraId="666282C8"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Cochin"/>
          <w:kern w:val="1"/>
          <w:sz w:val="24"/>
          <w:szCs w:val="24"/>
        </w:rPr>
      </w:pPr>
      <w:r w:rsidRPr="00EC612A">
        <w:rPr>
          <w:rFonts w:ascii="Book Antiqua" w:hAnsi="Book Antiqua" w:cs="Cochin"/>
          <w:kern w:val="1"/>
          <w:sz w:val="24"/>
          <w:szCs w:val="24"/>
        </w:rPr>
        <w:t xml:space="preserve">(a’) the point of functional analysis is to explain the capacities of containing systems </w:t>
      </w:r>
    </w:p>
    <w:p w14:paraId="6C4031BB"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TimesNewRomanPSMT"/>
          <w:kern w:val="1"/>
          <w:sz w:val="24"/>
          <w:szCs w:val="24"/>
        </w:rPr>
      </w:pPr>
      <w:r w:rsidRPr="00EC612A">
        <w:rPr>
          <w:rFonts w:ascii="Book Antiqua" w:hAnsi="Book Antiqua" w:cs="Cochin"/>
          <w:kern w:val="1"/>
          <w:sz w:val="24"/>
          <w:szCs w:val="24"/>
        </w:rPr>
        <w:t xml:space="preserve">(b’) F’s function in a containing system is to </w:t>
      </w:r>
      <w:r w:rsidRPr="00EC612A">
        <w:rPr>
          <w:rFonts w:ascii="Times New Roman" w:hAnsi="Times New Roman" w:cs="Times New Roman"/>
          <w:kern w:val="1"/>
          <w:sz w:val="24"/>
          <w:szCs w:val="24"/>
        </w:rPr>
        <w:t>ϕ</w:t>
      </w:r>
      <w:r w:rsidRPr="00EC612A">
        <w:rPr>
          <w:rFonts w:ascii="Book Antiqua" w:hAnsi="Book Antiqua" w:cs="Cochin"/>
          <w:kern w:val="1"/>
          <w:sz w:val="24"/>
          <w:szCs w:val="24"/>
        </w:rPr>
        <w:t xml:space="preserve"> iff F has the capacity to </w:t>
      </w:r>
      <w:r w:rsidRPr="00EC612A">
        <w:rPr>
          <w:rFonts w:ascii="Times New Roman" w:hAnsi="Times New Roman" w:cs="Times New Roman"/>
          <w:kern w:val="1"/>
          <w:sz w:val="24"/>
          <w:szCs w:val="24"/>
        </w:rPr>
        <w:t>ϕ</w:t>
      </w:r>
      <w:r w:rsidRPr="00EC612A">
        <w:rPr>
          <w:rFonts w:ascii="Book Antiqua" w:hAnsi="Book Antiqua" w:cs="Cochin"/>
          <w:kern w:val="1"/>
          <w:sz w:val="24"/>
          <w:szCs w:val="24"/>
        </w:rPr>
        <w:t xml:space="preserve"> and F's </w:t>
      </w:r>
      <w:r w:rsidRPr="00EC612A">
        <w:rPr>
          <w:rFonts w:ascii="Times New Roman" w:hAnsi="Times New Roman" w:cs="Times New Roman"/>
          <w:kern w:val="1"/>
          <w:sz w:val="24"/>
          <w:szCs w:val="24"/>
        </w:rPr>
        <w:t>ϕ</w:t>
      </w:r>
      <w:r w:rsidRPr="00EC612A">
        <w:rPr>
          <w:rFonts w:ascii="Book Antiqua" w:hAnsi="Book Antiqua" w:cs="Cochin"/>
          <w:kern w:val="1"/>
          <w:sz w:val="24"/>
          <w:szCs w:val="24"/>
        </w:rPr>
        <w:t xml:space="preserve">-ing is part of an adequate account of how the containing system is able to </w:t>
      </w:r>
      <w:r w:rsidRPr="00EC612A">
        <w:rPr>
          <w:rFonts w:ascii="Times New Roman" w:hAnsi="Times New Roman" w:cs="Times New Roman"/>
          <w:kern w:val="1"/>
          <w:sz w:val="24"/>
          <w:szCs w:val="24"/>
        </w:rPr>
        <w:t>ψ</w:t>
      </w:r>
    </w:p>
    <w:p w14:paraId="75C0D58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To return to white ignorance, then, the proposal is, first, to consider white racial domination as a global property of a social system (the containing system) that arises through the joint activity of a variety of social structures (and social structural processes) that, together, help us to better understand how it is that white racial domination persists. Although I do not have the space to present or defend my preferred account of social structure in detail, I am operating with a picture of social structure that includes both institutions— networks made up of roles (filled by individuals) and relations between roles that are governed by rules (e.g. governments, universities, and banks)—</w:t>
      </w:r>
      <w:r w:rsidRPr="00EC612A">
        <w:rPr>
          <w:rFonts w:ascii="Book Antiqua" w:hAnsi="Book Antiqua" w:cs="TimesNewRomanPSMT"/>
          <w:kern w:val="1"/>
          <w:sz w:val="24"/>
          <w:szCs w:val="24"/>
          <w:vertAlign w:val="superscript"/>
        </w:rPr>
        <w:footnoteReference w:id="32"/>
      </w:r>
      <w:r w:rsidRPr="00EC612A">
        <w:rPr>
          <w:rFonts w:ascii="Book Antiqua" w:hAnsi="Book Antiqua" w:cs="TimesNewRomanPSMT"/>
          <w:kern w:val="1"/>
          <w:sz w:val="24"/>
          <w:szCs w:val="24"/>
        </w:rPr>
        <w:t xml:space="preserve"> and culture, or networks of cultural schemas (e.g. beliefs, concepts, attitudes) that are widely internalized through processes of socialization and coordinate us in resource management, as well as the social norms and practices that emerge from widespread internalization of these schemas.</w:t>
      </w:r>
      <w:r w:rsidRPr="00EC612A">
        <w:rPr>
          <w:rFonts w:ascii="Book Antiqua" w:hAnsi="Book Antiqua" w:cs="TimesNewRomanPSMT"/>
          <w:kern w:val="1"/>
          <w:sz w:val="24"/>
          <w:szCs w:val="24"/>
          <w:vertAlign w:val="superscript"/>
        </w:rPr>
        <w:footnoteReference w:id="33"/>
      </w:r>
      <w:r w:rsidRPr="00EC612A">
        <w:rPr>
          <w:rFonts w:ascii="Book Antiqua" w:hAnsi="Book Antiqua" w:cs="TimesNewRomanPSMT"/>
          <w:kern w:val="1"/>
          <w:sz w:val="24"/>
          <w:szCs w:val="24"/>
        </w:rPr>
        <w:t xml:space="preserve"> As such, the practices and processes that the Cognitivist and Willful Ignorance Views appeal to are social structural processes on this view, as are practices like historic erasure and housing segregation. Then, within this framework, the Structuralist View proposes that we take the ignorance that plays a role in any variety of these social structural processes— that is, whatever ignorance is part of the explanation of how one or more social structural processes play/s its/their role in explaining how the social system is able to sustain a state of white racial domination— to be white ignorance.</w:t>
      </w:r>
    </w:p>
    <w:p w14:paraId="01CCB35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More formally, for some social system S, denote the social structures that make up S by </w:t>
      </w:r>
      <w:r w:rsidRPr="00EC612A">
        <w:rPr>
          <w:rFonts w:ascii="Book Antiqua" w:hAnsi="Book Antiqua" w:cs="TimesNewRomanPSMT"/>
          <w:i/>
          <w:kern w:val="1"/>
          <w:sz w:val="24"/>
          <w:szCs w:val="24"/>
        </w:rPr>
        <w:t>s</w:t>
      </w:r>
      <w:r w:rsidRPr="00EC612A">
        <w:rPr>
          <w:rFonts w:ascii="Book Antiqua" w:hAnsi="Book Antiqua" w:cs="TimesNewRomanPSMT"/>
          <w:i/>
          <w:kern w:val="1"/>
          <w:position w:val="-2"/>
          <w:sz w:val="16"/>
          <w:szCs w:val="24"/>
        </w:rPr>
        <w:t>i</w:t>
      </w:r>
      <w:r w:rsidRPr="00EC612A">
        <w:rPr>
          <w:rFonts w:ascii="Book Antiqua" w:hAnsi="Book Antiqua" w:cs="TimesNewRomanPSMT"/>
          <w:kern w:val="1"/>
          <w:sz w:val="24"/>
          <w:szCs w:val="24"/>
        </w:rPr>
        <w:t xml:space="preserve"> (for some </w:t>
      </w:r>
      <w:r w:rsidRPr="00EC612A">
        <w:rPr>
          <w:rFonts w:ascii="Book Antiqua" w:hAnsi="Book Antiqua" w:cs="TimesNewRomanPSMT"/>
          <w:i/>
          <w:kern w:val="1"/>
          <w:sz w:val="24"/>
          <w:szCs w:val="24"/>
        </w:rPr>
        <w:t>i</w:t>
      </w:r>
      <w:r w:rsidRPr="00EC612A">
        <w:rPr>
          <w:rFonts w:ascii="Book Antiqua" w:hAnsi="Book Antiqua" w:cs="TimesNewRomanPSMT"/>
          <w:kern w:val="1"/>
          <w:sz w:val="24"/>
          <w:szCs w:val="24"/>
        </w:rPr>
        <w:t xml:space="preserve">) and denote the activities that each </w:t>
      </w:r>
      <w:r w:rsidRPr="00EC612A">
        <w:rPr>
          <w:rFonts w:ascii="Book Antiqua" w:hAnsi="Book Antiqua" w:cs="TimesNewRomanPSMT"/>
          <w:i/>
          <w:kern w:val="1"/>
          <w:sz w:val="24"/>
          <w:szCs w:val="24"/>
        </w:rPr>
        <w:t>s</w:t>
      </w:r>
      <w:r w:rsidRPr="00EC612A">
        <w:rPr>
          <w:rFonts w:ascii="Book Antiqua" w:hAnsi="Book Antiqua" w:cs="TimesNewRomanPSMT"/>
          <w:i/>
          <w:kern w:val="1"/>
          <w:position w:val="-2"/>
          <w:sz w:val="16"/>
          <w:szCs w:val="24"/>
        </w:rPr>
        <w:t>i</w:t>
      </w:r>
      <w:r w:rsidRPr="00EC612A">
        <w:rPr>
          <w:rFonts w:ascii="Book Antiqua" w:hAnsi="Book Antiqua" w:cs="TimesNewRomanPSMT"/>
          <w:kern w:val="1"/>
          <w:sz w:val="24"/>
          <w:szCs w:val="24"/>
        </w:rPr>
        <w:t xml:space="preserve"> engages in by </w:t>
      </w:r>
      <w:r w:rsidRPr="00EC612A">
        <w:rPr>
          <w:rFonts w:ascii="Times New Roman" w:hAnsi="Times New Roman" w:cs="Times New Roman"/>
          <w:kern w:val="1"/>
          <w:sz w:val="24"/>
          <w:szCs w:val="24"/>
        </w:rPr>
        <w:t>ɸ</w:t>
      </w:r>
      <w:r w:rsidRPr="00EC612A">
        <w:rPr>
          <w:rFonts w:ascii="Book Antiqua" w:hAnsi="Book Antiqua" w:cs="TimesNewRomanPSMT"/>
          <w:i/>
          <w:kern w:val="1"/>
          <w:position w:val="-2"/>
          <w:sz w:val="16"/>
          <w:szCs w:val="24"/>
        </w:rPr>
        <w:t>i, j</w:t>
      </w:r>
      <w:r w:rsidRPr="00EC612A">
        <w:rPr>
          <w:rFonts w:ascii="Book Antiqua" w:hAnsi="Book Antiqua" w:cs="TimesNewRomanPSMT"/>
          <w:i/>
          <w:kern w:val="1"/>
          <w:sz w:val="24"/>
          <w:szCs w:val="24"/>
        </w:rPr>
        <w:t xml:space="preserve"> </w:t>
      </w:r>
      <w:r w:rsidRPr="00EC612A">
        <w:rPr>
          <w:rFonts w:ascii="Book Antiqua" w:hAnsi="Book Antiqua" w:cs="TimesNewRomanPSMT"/>
          <w:kern w:val="1"/>
          <w:sz w:val="24"/>
          <w:szCs w:val="24"/>
        </w:rPr>
        <w:t xml:space="preserve">(for some </w:t>
      </w:r>
      <w:r w:rsidRPr="00EC612A">
        <w:rPr>
          <w:rFonts w:ascii="Book Antiqua" w:hAnsi="Book Antiqua" w:cs="TimesNewRomanPSMT"/>
          <w:i/>
          <w:kern w:val="1"/>
          <w:sz w:val="24"/>
          <w:szCs w:val="24"/>
        </w:rPr>
        <w:t>j</w:t>
      </w:r>
      <w:r w:rsidRPr="00EC612A">
        <w:rPr>
          <w:rFonts w:ascii="Book Antiqua" w:hAnsi="Book Antiqua" w:cs="TimesNewRomanPSMT"/>
          <w:kern w:val="1"/>
          <w:sz w:val="24"/>
          <w:szCs w:val="24"/>
        </w:rPr>
        <w:t>).</w:t>
      </w:r>
      <w:r w:rsidRPr="00EC612A">
        <w:rPr>
          <w:rFonts w:ascii="Book Antiqua" w:hAnsi="Book Antiqua" w:cs="TimesNewRomanPSMT"/>
          <w:kern w:val="1"/>
          <w:sz w:val="24"/>
          <w:szCs w:val="24"/>
          <w:vertAlign w:val="superscript"/>
        </w:rPr>
        <w:footnoteReference w:id="34"/>
      </w:r>
      <w:r w:rsidRPr="00EC612A">
        <w:rPr>
          <w:rFonts w:ascii="Book Antiqua" w:hAnsi="Book Antiqua" w:cs="TimesNewRomanPSMT"/>
          <w:kern w:val="1"/>
          <w:sz w:val="24"/>
          <w:szCs w:val="24"/>
        </w:rPr>
        <w:t xml:space="preserve"> Then</w:t>
      </w:r>
    </w:p>
    <w:p w14:paraId="250846CE"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Cochin"/>
          <w:kern w:val="1"/>
          <w:sz w:val="24"/>
          <w:szCs w:val="24"/>
        </w:rPr>
      </w:pPr>
      <w:r w:rsidRPr="00EC612A">
        <w:rPr>
          <w:rFonts w:ascii="Book Antiqua" w:hAnsi="Book Antiqua" w:cs="Cochin"/>
          <w:b/>
          <w:kern w:val="1"/>
          <w:sz w:val="24"/>
          <w:szCs w:val="24"/>
        </w:rPr>
        <w:t>(Structuralist View)</w:t>
      </w:r>
      <w:r w:rsidRPr="00EC612A">
        <w:rPr>
          <w:rFonts w:ascii="Book Antiqua" w:hAnsi="Book Antiqua" w:cs="Cochin"/>
          <w:kern w:val="1"/>
          <w:sz w:val="24"/>
          <w:szCs w:val="24"/>
        </w:rPr>
        <w:t xml:space="preserve"> A’s ignorance of </w:t>
      </w:r>
      <w:r w:rsidRPr="00EC612A">
        <w:rPr>
          <w:rFonts w:ascii="Times New Roman" w:hAnsi="Times New Roman" w:cs="Times New Roman"/>
          <w:kern w:val="1"/>
          <w:sz w:val="24"/>
          <w:szCs w:val="24"/>
        </w:rPr>
        <w:t>ψ</w:t>
      </w:r>
      <w:r w:rsidRPr="00EC612A">
        <w:rPr>
          <w:rFonts w:ascii="Book Antiqua" w:hAnsi="Book Antiqua" w:cs="Cochin"/>
          <w:kern w:val="1"/>
          <w:sz w:val="24"/>
          <w:szCs w:val="24"/>
        </w:rPr>
        <w:t xml:space="preserve"> will be an instance of white ignorance iff A’s ignorance is (in part) the result of at least one process </w:t>
      </w:r>
      <w:r w:rsidRPr="00EC612A">
        <w:rPr>
          <w:rFonts w:ascii="Times New Roman" w:hAnsi="Times New Roman" w:cs="Times New Roman"/>
          <w:kern w:val="1"/>
          <w:sz w:val="24"/>
          <w:szCs w:val="24"/>
        </w:rPr>
        <w:t>ɸ</w:t>
      </w:r>
      <w:r w:rsidRPr="00EC612A">
        <w:rPr>
          <w:rFonts w:ascii="Book Antiqua" w:hAnsi="Book Antiqua" w:cs="Cochin"/>
          <w:i/>
          <w:kern w:val="1"/>
          <w:sz w:val="24"/>
          <w:szCs w:val="24"/>
          <w:vertAlign w:val="subscript"/>
        </w:rPr>
        <w:t>i,j</w:t>
      </w:r>
      <w:r w:rsidRPr="00EC612A">
        <w:rPr>
          <w:rFonts w:ascii="Book Antiqua" w:hAnsi="Book Antiqua" w:cs="Cochin"/>
          <w:kern w:val="1"/>
          <w:sz w:val="24"/>
          <w:szCs w:val="24"/>
        </w:rPr>
        <w:t xml:space="preserve"> such that: </w:t>
      </w:r>
    </w:p>
    <w:p w14:paraId="49910389"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Cochin"/>
          <w:kern w:val="1"/>
          <w:sz w:val="24"/>
          <w:szCs w:val="24"/>
        </w:rPr>
      </w:pPr>
      <w:r w:rsidRPr="00EC612A">
        <w:rPr>
          <w:rFonts w:ascii="Book Antiqua" w:hAnsi="Book Antiqua" w:cs="Cochin"/>
          <w:kern w:val="1"/>
          <w:sz w:val="24"/>
          <w:szCs w:val="24"/>
        </w:rPr>
        <w:t xml:space="preserve">(1) </w:t>
      </w:r>
      <w:r w:rsidRPr="00EC612A">
        <w:rPr>
          <w:rFonts w:ascii="Times New Roman" w:hAnsi="Times New Roman" w:cs="Times New Roman"/>
          <w:kern w:val="1"/>
          <w:sz w:val="24"/>
          <w:szCs w:val="24"/>
        </w:rPr>
        <w:t>ɸ</w:t>
      </w:r>
      <w:r w:rsidRPr="00EC612A">
        <w:rPr>
          <w:rFonts w:ascii="Book Antiqua" w:hAnsi="Book Antiqua" w:cs="Cochin"/>
          <w:i/>
          <w:kern w:val="1"/>
          <w:sz w:val="24"/>
          <w:szCs w:val="24"/>
          <w:vertAlign w:val="subscript"/>
        </w:rPr>
        <w:t>i,j</w:t>
      </w:r>
      <w:r w:rsidRPr="00EC612A">
        <w:rPr>
          <w:rFonts w:ascii="Book Antiqua" w:hAnsi="Book Antiqua" w:cs="Cochin"/>
          <w:kern w:val="1"/>
          <w:sz w:val="24"/>
          <w:szCs w:val="24"/>
        </w:rPr>
        <w:t xml:space="preserve"> systematically helps give rise to white racial domination in </w:t>
      </w:r>
      <w:r w:rsidRPr="00EC612A">
        <w:rPr>
          <w:rFonts w:ascii="Book Antiqua" w:hAnsi="Book Antiqua" w:cs="Cochin"/>
          <w:i/>
          <w:kern w:val="1"/>
          <w:sz w:val="24"/>
          <w:szCs w:val="24"/>
        </w:rPr>
        <w:t>S</w:t>
      </w:r>
      <w:r w:rsidRPr="00EC612A">
        <w:rPr>
          <w:rFonts w:ascii="Book Antiqua" w:hAnsi="Book Antiqua" w:cs="Cochin"/>
          <w:kern w:val="1"/>
          <w:sz w:val="24"/>
          <w:szCs w:val="24"/>
        </w:rPr>
        <w:t xml:space="preserve">  AND</w:t>
      </w:r>
    </w:p>
    <w:p w14:paraId="5B41802D"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Book Antiqua" w:hAnsi="Book Antiqua" w:cs="TimesNewRomanPSMT"/>
          <w:kern w:val="1"/>
          <w:sz w:val="24"/>
          <w:szCs w:val="24"/>
        </w:rPr>
      </w:pPr>
      <w:r w:rsidRPr="00EC612A">
        <w:rPr>
          <w:rFonts w:ascii="Book Antiqua" w:hAnsi="Book Antiqua" w:cs="Cochin"/>
          <w:kern w:val="1"/>
          <w:sz w:val="24"/>
          <w:szCs w:val="24"/>
        </w:rPr>
        <w:t xml:space="preserve">(2) </w:t>
      </w:r>
      <w:r w:rsidRPr="00EC612A">
        <w:rPr>
          <w:rFonts w:ascii="Times New Roman" w:hAnsi="Times New Roman" w:cs="Times New Roman"/>
          <w:kern w:val="1"/>
          <w:sz w:val="24"/>
          <w:szCs w:val="24"/>
        </w:rPr>
        <w:t>ɸ</w:t>
      </w:r>
      <w:r w:rsidRPr="00EC612A">
        <w:rPr>
          <w:rFonts w:ascii="Book Antiqua" w:hAnsi="Book Antiqua" w:cs="Cochin"/>
          <w:i/>
          <w:kern w:val="1"/>
          <w:sz w:val="24"/>
          <w:szCs w:val="24"/>
          <w:vertAlign w:val="subscript"/>
        </w:rPr>
        <w:t>i,j</w:t>
      </w:r>
      <w:r w:rsidRPr="00EC612A">
        <w:rPr>
          <w:rFonts w:ascii="Book Antiqua" w:hAnsi="Book Antiqua" w:cs="Cochin"/>
          <w:kern w:val="1"/>
          <w:sz w:val="24"/>
          <w:szCs w:val="24"/>
        </w:rPr>
        <w:t xml:space="preserve"> does so (at least in part) by (systematically) promoting ignorance of </w:t>
      </w:r>
      <w:r w:rsidRPr="00EC612A">
        <w:rPr>
          <w:rFonts w:ascii="Times New Roman" w:hAnsi="Times New Roman" w:cs="Times New Roman"/>
          <w:kern w:val="1"/>
          <w:sz w:val="24"/>
          <w:szCs w:val="24"/>
        </w:rPr>
        <w:t>ψ</w:t>
      </w:r>
      <w:r w:rsidRPr="00EC612A">
        <w:rPr>
          <w:rFonts w:ascii="Book Antiqua" w:hAnsi="Book Antiqua" w:cs="Cochin"/>
          <w:kern w:val="1"/>
          <w:sz w:val="24"/>
          <w:szCs w:val="24"/>
        </w:rPr>
        <w:t xml:space="preserve">  </w:t>
      </w:r>
      <w:r w:rsidRPr="00EC612A">
        <w:rPr>
          <w:rFonts w:ascii="Book Antiqua" w:hAnsi="Book Antiqua" w:cs="TimesNewRomanPSMT"/>
          <w:kern w:val="1"/>
          <w:sz w:val="24"/>
          <w:szCs w:val="24"/>
        </w:rPr>
        <w:t xml:space="preserve"> </w:t>
      </w:r>
    </w:p>
    <w:p w14:paraId="7ADF1D47"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where </w:t>
      </w:r>
      <w:r w:rsidRPr="00EC612A">
        <w:rPr>
          <w:rFonts w:ascii="Times New Roman" w:hAnsi="Times New Roman" w:cs="Times New Roman"/>
          <w:kern w:val="1"/>
          <w:sz w:val="24"/>
          <w:szCs w:val="24"/>
        </w:rPr>
        <w:t>ɸ</w:t>
      </w:r>
      <w:r w:rsidRPr="00EC612A">
        <w:rPr>
          <w:rFonts w:ascii="Book Antiqua" w:hAnsi="Book Antiqua" w:cs="TimesNewRomanPSMT"/>
          <w:i/>
          <w:kern w:val="1"/>
          <w:position w:val="-2"/>
          <w:sz w:val="16"/>
          <w:szCs w:val="24"/>
        </w:rPr>
        <w:t>i, j</w:t>
      </w:r>
      <w:r w:rsidRPr="00EC612A">
        <w:rPr>
          <w:rFonts w:ascii="Book Antiqua" w:hAnsi="Book Antiqua" w:cs="TimesNewRomanPSMT"/>
          <w:kern w:val="1"/>
          <w:sz w:val="24"/>
          <w:szCs w:val="24"/>
        </w:rPr>
        <w:t xml:space="preserve"> "systematically helps give rise to white racial domination" if </w:t>
      </w:r>
      <w:r w:rsidRPr="00EC612A">
        <w:rPr>
          <w:rFonts w:ascii="Times New Roman" w:hAnsi="Times New Roman" w:cs="Times New Roman"/>
          <w:kern w:val="1"/>
          <w:sz w:val="24"/>
          <w:szCs w:val="24"/>
        </w:rPr>
        <w:t>ɸ</w:t>
      </w:r>
      <w:r w:rsidRPr="00EC612A">
        <w:rPr>
          <w:rFonts w:ascii="Book Antiqua" w:hAnsi="Book Antiqua" w:cs="TimesNewRomanPSMT"/>
          <w:i/>
          <w:kern w:val="1"/>
          <w:position w:val="-2"/>
          <w:sz w:val="16"/>
          <w:szCs w:val="24"/>
        </w:rPr>
        <w:t>i, j</w:t>
      </w:r>
      <w:r w:rsidRPr="00EC612A">
        <w:rPr>
          <w:rFonts w:ascii="Book Antiqua" w:hAnsi="Book Antiqua" w:cs="TimesNewRomanPSMT"/>
          <w:kern w:val="1"/>
          <w:sz w:val="24"/>
          <w:szCs w:val="24"/>
        </w:rPr>
        <w:t xml:space="preserve"> regularly has certain effects and its having those effects is part of an adequate explanation of the existence or persistence of white racial domination. Condition (2), in turn, will be satisfied when causing or probabilifying ignorance of </w:t>
      </w:r>
      <w:r w:rsidRPr="00EC612A">
        <w:rPr>
          <w:rFonts w:ascii="Times New Roman" w:hAnsi="Times New Roman" w:cs="Times New Roman"/>
          <w:kern w:val="1"/>
          <w:sz w:val="24"/>
          <w:szCs w:val="24"/>
        </w:rPr>
        <w:t>ψ</w:t>
      </w:r>
      <w:r w:rsidRPr="00EC612A">
        <w:rPr>
          <w:rFonts w:ascii="Book Antiqua" w:hAnsi="Book Antiqua" w:cs="TimesNewRomanPSMT"/>
          <w:kern w:val="1"/>
          <w:sz w:val="24"/>
          <w:szCs w:val="24"/>
        </w:rPr>
        <w:t xml:space="preserve"> is part of these “regular effects” of </w:t>
      </w:r>
      <w:r w:rsidRPr="00EC612A">
        <w:rPr>
          <w:rFonts w:ascii="Times New Roman" w:hAnsi="Times New Roman" w:cs="Times New Roman"/>
          <w:kern w:val="1"/>
          <w:sz w:val="24"/>
          <w:szCs w:val="24"/>
        </w:rPr>
        <w:t>ɸ</w:t>
      </w:r>
      <w:r w:rsidRPr="00EC612A">
        <w:rPr>
          <w:rFonts w:ascii="Book Antiqua" w:hAnsi="Book Antiqua" w:cs="TimesNewRomanPSMT"/>
          <w:i/>
          <w:kern w:val="1"/>
          <w:position w:val="-2"/>
          <w:sz w:val="16"/>
          <w:szCs w:val="24"/>
        </w:rPr>
        <w:t>i, j</w:t>
      </w:r>
      <w:r w:rsidRPr="00EC612A">
        <w:rPr>
          <w:rFonts w:ascii="Book Antiqua" w:hAnsi="Book Antiqua" w:cs="TimesNewRomanPSMT"/>
          <w:kern w:val="1"/>
          <w:sz w:val="24"/>
          <w:szCs w:val="24"/>
        </w:rPr>
        <w:t xml:space="preserve">. In this way, the intuitive notions of “systematically giving rise to” and being an “incidental by-product” are understood in terms of regularity and explanatory power. </w:t>
      </w:r>
    </w:p>
    <w:p w14:paraId="504E7323"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5C733250"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Core Benefits of the Structuralist View</w:t>
      </w:r>
    </w:p>
    <w:p w14:paraId="4A5E1B47"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First, note that, because the Structuralist View encompasses the structural processes appealed to by both the Cognitivist and Willful Ignorance Views, the Structuralist View inherits their benefits when it comes to satisfying the core desiderata. But it can also do better: it can also appeal to, e.g., social practices that make key evidence difficult to obtain in order to help account for white ignorance being widespread (1a); it can appeal to social processes like housing segregation that systematically distance dominantly situated knowers, but not marginalized knowers, from evidence about racial injustice to better account for demographic patterns (1b); and it can appeal to a variety of practices to better account for the different forms that widespread ignorance takes— e.g. it can appeal to social practices that distribute faulty cognitive resources to account for convergence around certain false beliefs, and it can also appeal to cognitively upstream, evidence-distancing practices to better account for a widespread lack of belief about certain matters (1c). </w:t>
      </w:r>
    </w:p>
    <w:p w14:paraId="17494212"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But the Structuralist View’s greatest advantage is explanatory coverage (3). As previously discussed, there are key elements of </w:t>
      </w: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that neither the Cognitivist View nor the Willful Ignorance View is able to capture. Although these views might be able to identify </w:t>
      </w: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as an instance of white ignorance, and so get the verdict right, they do not make room for crucial parts of the explanation— specifically, practices of historic erasure. The Structuralist View, in contrast, does: historical erasure is a social structural process that (a) systematically give rise to racial injustice, and (b) does so in part by systematically giving rise to ignorance of the sort that Rebecca experiences. </w:t>
      </w:r>
    </w:p>
    <w:p w14:paraId="707866C1"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The point is even clearer in the following case, where the explanatory limitations of the Cognitivist and Willful Ignorance Views lead to (what I argue is) an extensional inadequacy (2a):</w:t>
      </w:r>
    </w:p>
    <w:p w14:paraId="560AFF7C" w14:textId="77777777" w:rsidR="00D567D5" w:rsidRPr="00EC612A" w:rsidRDefault="004C57BD" w:rsidP="00047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85" w:right="690" w:hanging="106"/>
        <w:rPr>
          <w:rFonts w:ascii="Book Antiqua" w:hAnsi="Book Antiqua" w:cs="TimesNewRomanPSMT"/>
          <w:kern w:val="1"/>
          <w:sz w:val="24"/>
          <w:szCs w:val="24"/>
        </w:rPr>
      </w:pPr>
      <w:r w:rsidRPr="00EC612A">
        <w:rPr>
          <w:rFonts w:ascii="Book Antiqua" w:hAnsi="Book Antiqua" w:cs="Cochin"/>
          <w:b/>
          <w:kern w:val="1"/>
          <w:sz w:val="22"/>
          <w:szCs w:val="24"/>
        </w:rPr>
        <w:t>[Precision Medicine]</w:t>
      </w:r>
      <w:r w:rsidRPr="00EC612A">
        <w:rPr>
          <w:rFonts w:ascii="Book Antiqua" w:hAnsi="Book Antiqua" w:cs="Cochin"/>
          <w:kern w:val="1"/>
          <w:sz w:val="22"/>
          <w:szCs w:val="24"/>
        </w:rPr>
        <w:t xml:space="preserve"> Dr. Mejilla knows that genome-wide association studies (GWAS) have shown that the safety and effectiveness of the drug </w:t>
      </w:r>
      <w:r w:rsidRPr="00EC612A">
        <w:rPr>
          <w:rFonts w:ascii="Book Antiqua" w:hAnsi="Book Antiqua" w:cs="Cochin"/>
          <w:i/>
          <w:kern w:val="1"/>
          <w:sz w:val="22"/>
          <w:szCs w:val="24"/>
        </w:rPr>
        <w:t>tamoxifen</w:t>
      </w:r>
      <w:r w:rsidRPr="00EC612A">
        <w:rPr>
          <w:rFonts w:ascii="Book Antiqua" w:hAnsi="Book Antiqua" w:cs="Cochin"/>
          <w:kern w:val="1"/>
          <w:sz w:val="22"/>
          <w:szCs w:val="24"/>
        </w:rPr>
        <w:t xml:space="preserve"> depends on a patient’s genetic profile. However, because GWAS have been conducted primarily on European populations, Dr. Mejilla does not know whether her Indigenous Latina patient, Yusimí, will be able to safely metabolize the drug.</w:t>
      </w:r>
    </w:p>
    <w:p w14:paraId="7EF81E2C" w14:textId="77777777" w:rsidR="00D567D5" w:rsidRPr="00EC612A" w:rsidRDefault="00D567D5" w:rsidP="000475AD">
      <w:pPr>
        <w:tabs>
          <w:tab w:val="left" w:pos="1440"/>
          <w:tab w:val="left" w:pos="2160"/>
          <w:tab w:val="left" w:pos="2880"/>
        </w:tabs>
        <w:spacing w:line="360" w:lineRule="auto"/>
        <w:ind w:firstLine="720"/>
        <w:rPr>
          <w:rFonts w:ascii="Book Antiqua" w:hAnsi="Book Antiqua" w:cs="TimesNewRomanPSMT"/>
          <w:kern w:val="1"/>
          <w:sz w:val="24"/>
          <w:szCs w:val="24"/>
        </w:rPr>
      </w:pPr>
    </w:p>
    <w:p w14:paraId="0FAA6DEE"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First, note that Dr. Mejilla’s ignorance about the likely effects of </w:t>
      </w:r>
      <w:r w:rsidRPr="00EC612A">
        <w:rPr>
          <w:rFonts w:ascii="Book Antiqua" w:hAnsi="Book Antiqua" w:cs="TimesNewRomanPSMT"/>
          <w:i/>
          <w:kern w:val="1"/>
          <w:sz w:val="24"/>
          <w:szCs w:val="24"/>
        </w:rPr>
        <w:t>tamoxifen</w:t>
      </w:r>
      <w:r w:rsidRPr="00EC612A">
        <w:rPr>
          <w:rFonts w:ascii="Book Antiqua" w:hAnsi="Book Antiqua" w:cs="TimesNewRomanPSMT"/>
          <w:kern w:val="1"/>
          <w:sz w:val="24"/>
          <w:szCs w:val="24"/>
        </w:rPr>
        <w:t xml:space="preserve"> on patients like Yusimí forms part of a larger pattern of ignorance among medical professionals. Note also that Dr. Mejilla’s ignorance is not attributable to faulty cognitive practices, nor is it willful ignorance on her part. Rather, the problem is that GWAS have been conducted primarily on European populations. According to a 2009 analysis, 96% of participants in GWAS were of European descent, and as of 2016, fewer than 5% of GWAS participants are like Yusimí— that is, of African, Indigenous, or mixed ancestry.</w:t>
      </w:r>
      <w:r w:rsidRPr="00EC612A">
        <w:rPr>
          <w:rFonts w:ascii="Book Antiqua" w:hAnsi="Book Antiqua" w:cs="TimesNewRomanPSMT"/>
          <w:kern w:val="1"/>
          <w:sz w:val="24"/>
          <w:szCs w:val="24"/>
          <w:vertAlign w:val="superscript"/>
        </w:rPr>
        <w:footnoteReference w:id="35"/>
      </w:r>
      <w:r w:rsidRPr="00EC612A">
        <w:rPr>
          <w:rFonts w:ascii="Book Antiqua" w:hAnsi="Book Antiqua" w:cs="TimesNewRomanPSMT"/>
          <w:kern w:val="1"/>
          <w:sz w:val="24"/>
          <w:szCs w:val="24"/>
        </w:rPr>
        <w:t xml:space="preserve"> Researchers point to three key factors to explain the European bias in GWAS.</w:t>
      </w:r>
      <w:r w:rsidRPr="00EC612A">
        <w:rPr>
          <w:rFonts w:ascii="Book Antiqua" w:hAnsi="Book Antiqua" w:cs="TimesNewRomanPSMT"/>
          <w:kern w:val="1"/>
          <w:sz w:val="24"/>
          <w:szCs w:val="24"/>
          <w:vertAlign w:val="superscript"/>
        </w:rPr>
        <w:footnoteReference w:id="36"/>
      </w:r>
      <w:r w:rsidRPr="00EC612A">
        <w:rPr>
          <w:rFonts w:ascii="Book Antiqua" w:hAnsi="Book Antiqua" w:cs="TimesNewRomanPSMT"/>
          <w:kern w:val="1"/>
          <w:sz w:val="24"/>
          <w:szCs w:val="24"/>
        </w:rPr>
        <w:t xml:space="preserve"> First, it is preferable to build on existing data sets and patient cohorts for studies of this kind, so that historical biases are perpetuated by methodological norms. Second, people of color face disproportionate barriers in access to medical care and medical centers, which limit their ability to participate in studies. Third, communities of color have historically been subject to abuse by the medical community, generating distrust and an unwillingness to participate when the option is available.</w:t>
      </w:r>
      <w:r w:rsidRPr="00EC612A">
        <w:rPr>
          <w:rFonts w:ascii="Book Antiqua" w:hAnsi="Book Antiqua" w:cs="TimesNewRomanPSMT"/>
          <w:kern w:val="1"/>
          <w:sz w:val="24"/>
          <w:szCs w:val="24"/>
          <w:vertAlign w:val="superscript"/>
        </w:rPr>
        <w:footnoteReference w:id="37"/>
      </w:r>
      <w:r w:rsidRPr="00EC612A">
        <w:rPr>
          <w:rFonts w:ascii="Book Antiqua" w:hAnsi="Book Antiqua" w:cs="TimesNewRomanPSMT"/>
          <w:kern w:val="1"/>
          <w:sz w:val="24"/>
          <w:szCs w:val="24"/>
        </w:rPr>
        <w:t xml:space="preserve"> </w:t>
      </w:r>
    </w:p>
    <w:p w14:paraId="18480553"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To show that the Structuralist View can accommodate the case, I will focus on the second factor: the barriers to medical access. These barriers have obvious concrete consequences that help constitute white racial domination— they help create a medical system in which people of color systematically receive worse medical treatment than their white counterparts. But, importantly, these barriers also systematically contribute to white racial domination through the kinds of epistemic upshots that we see in </w:t>
      </w:r>
      <w:r w:rsidRPr="00EC612A">
        <w:rPr>
          <w:rFonts w:ascii="Book Antiqua" w:hAnsi="Book Antiqua" w:cs="TimesNewRomanPSMT"/>
          <w:i/>
          <w:kern w:val="1"/>
          <w:sz w:val="24"/>
          <w:szCs w:val="24"/>
        </w:rPr>
        <w:t>Precision Medicine</w:t>
      </w:r>
      <w:r w:rsidRPr="00EC612A">
        <w:rPr>
          <w:rFonts w:ascii="Book Antiqua" w:hAnsi="Book Antiqua" w:cs="TimesNewRomanPSMT"/>
          <w:kern w:val="1"/>
          <w:sz w:val="24"/>
          <w:szCs w:val="24"/>
        </w:rPr>
        <w:t xml:space="preserve">. Insofar as these barriers give rise to patterns of ignorance of this kind, they make it such that even when people of color are able to access medical care, they still fail to receive fair treatment. This creates systematic disparities between white and non-white patients that help constitute a system of white racial domination. Thus (a) the ignorance results as part of a process that systematically gives rise to racial injustice and ignorance of this kind, and (b) the ignorance is an active, systematic player in this process. </w:t>
      </w:r>
    </w:p>
    <w:p w14:paraId="1E010E0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Further, I argue, it is important to include cases like this in our account of white ignorance, even if it is likely not what first come to mind when one hears “white ignorance.” It is crucial to realize that we systematically fail people of color, not just in terms of medical access and treatment, but, even more fundamentally, in terms of medical knowledge. Recognizing the epistemic and practical effects of these processes is important to understanding the epistemic dimension of white racial domination, as well as the way in which white racial domination sustains itself— and this is just what an account of white ignorance is meant to shed light on. </w:t>
      </w:r>
    </w:p>
    <w:p w14:paraId="29840A52"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Finally, the Structuralist View’s advantage with respect to explanatory coverage (3) translates into further advantages when it comes to explaining the resilience of white ignorance (1d) and the persistence of white racial domination (2b). To see this, compare the pictures of active ignorance that fall out of each view. On the Cognitivist View, active ignorance is characterized primarily in agential terms: the actively ignorant agent is one who avoids changing their beliefs even when directly faced with evidence that contradicts their views by, e.g., explaining away evidence or derailing conversations.</w:t>
      </w:r>
      <w:r w:rsidRPr="00EC612A">
        <w:rPr>
          <w:rFonts w:ascii="Book Antiqua" w:hAnsi="Book Antiqua" w:cs="TimesNewRomanPSMT"/>
          <w:kern w:val="1"/>
          <w:sz w:val="24"/>
          <w:szCs w:val="24"/>
          <w:vertAlign w:val="superscript"/>
        </w:rPr>
        <w:footnoteReference w:id="38"/>
      </w:r>
      <w:r w:rsidRPr="00EC612A">
        <w:rPr>
          <w:rFonts w:ascii="Book Antiqua" w:hAnsi="Book Antiqua" w:cs="TimesNewRomanPSMT"/>
          <w:kern w:val="1"/>
          <w:sz w:val="24"/>
          <w:szCs w:val="24"/>
        </w:rPr>
        <w:t xml:space="preserve"> They may be shaped by their social environment as suggested by the Willful Ignorance View, and they may draw on tools provided by their social milieu as suggested by the Cognitivist View, but ultimately, active ignorance is a matter of the actively ignorant agent performing certain actions such as to preserve their ignorance. Active ignorance is thus primarily agential on the traditional view.</w:t>
      </w:r>
    </w:p>
    <w:p w14:paraId="498CB538" w14:textId="45850FCC"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On my picture, the activeness of white ignorance is not understood agentially, but rather as a matter of there being barriers, or defense mechanisms, that “protect” it. The analogy to a castle under siege is helpful here. On one level, individual inhabitants can wield personal weapons to defend themselves in close combat. On another level, there are soldiers that enact coordinated maneuvers that help prevent situations in which individual inhabitants need to draw their swords. On yet another level, the inhabitants are protected by key str</w:t>
      </w:r>
      <w:r w:rsidR="004A21C4">
        <w:rPr>
          <w:rFonts w:ascii="Book Antiqua" w:hAnsi="Book Antiqua" w:cs="TimesNewRomanPSMT"/>
          <w:kern w:val="1"/>
          <w:sz w:val="24"/>
          <w:szCs w:val="24"/>
        </w:rPr>
        <w:t xml:space="preserve">uctural features of the castle, </w:t>
      </w:r>
      <w:r w:rsidRPr="00EC612A">
        <w:rPr>
          <w:rFonts w:ascii="Book Antiqua" w:hAnsi="Book Antiqua" w:cs="TimesNewRomanPSMT"/>
          <w:kern w:val="1"/>
          <w:sz w:val="24"/>
          <w:szCs w:val="24"/>
        </w:rPr>
        <w:t>such as the moat, the drawbridge, and the thick castle walls; even the geography of the land plays a role in defending the castle. Each of these levels acts as a significant layer of protection for the inhabitants, and these layers often operate simultaneously. Similarly, on the Structuralist View, there are multiple kinds of defense mechanisms for active ignorance, some of which involve action on behalf of the white ignorant agent, and others which act upstream of the individual.</w:t>
      </w:r>
    </w:p>
    <w:p w14:paraId="3610FF7C"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To fully understand how it is that these patterns of domination-sustaining ignorance are protected, it is important to recognize the variety of structural factors that play a role in promoting and sustaining both white ignorance and white racial domination, often simultaneously. The Structuralist View, but not the Cognitivist or Willful Ignorance views, makes room for the necessary nuance and complexity. As such, the Structuralist View better accounts for both the resilience of white ignorance (1d) and the persistence of white racial domination (2b).</w:t>
      </w:r>
    </w:p>
    <w:p w14:paraId="6CA3F475"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4525FF3B"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Additional Benefits of the Structuralist View</w:t>
      </w:r>
    </w:p>
    <w:p w14:paraId="5DBD4356"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I have argued that the appeal to general social structural processes gives the Structuralist View the power to account for patterns of ignorance that are supported by multiple, diverse social practices. This gives rise to a characterization of the activeness of white ignorance that better accounts for the robustness of white ignorance and white racial domination: it is not merely a matter of individual agents willfully resisting knowledge and progress; rather there is a complex, layered system that promotes ignorance and, partly in so doing, generates and stabilizes white racial domination. </w:t>
      </w:r>
    </w:p>
    <w:p w14:paraId="40CD305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 What gives the view the power needed to secure these core benefits, while also providing needed flexibility, is its abstractness. The Structuralist View is not a simple disjunctive view—it does not merely add to the Cognitivist and Willful Ignorance Views the specification that white ignorance is ignorance that either arises from the kinds of practices that the Willful Ignorance View identifies, </w:t>
      </w:r>
      <w:r w:rsidRPr="00EC612A">
        <w:rPr>
          <w:rFonts w:ascii="Book Antiqua" w:hAnsi="Book Antiqua" w:cs="TimesNewRomanPSMT"/>
          <w:i/>
          <w:kern w:val="1"/>
          <w:sz w:val="24"/>
          <w:szCs w:val="24"/>
        </w:rPr>
        <w:t>or</w:t>
      </w:r>
      <w:r w:rsidRPr="00EC612A">
        <w:rPr>
          <w:rFonts w:ascii="Book Antiqua" w:hAnsi="Book Antiqua" w:cs="TimesNewRomanPSMT"/>
          <w:kern w:val="1"/>
          <w:sz w:val="24"/>
          <w:szCs w:val="24"/>
        </w:rPr>
        <w:t xml:space="preserve"> from the kinds of practices that the Cognitivist View identifies, </w:t>
      </w:r>
      <w:r w:rsidRPr="00EC612A">
        <w:rPr>
          <w:rFonts w:ascii="Book Antiqua" w:hAnsi="Book Antiqua" w:cs="TimesNewRomanPSMT"/>
          <w:i/>
          <w:kern w:val="1"/>
          <w:sz w:val="24"/>
          <w:szCs w:val="24"/>
        </w:rPr>
        <w:t>or</w:t>
      </w:r>
      <w:r w:rsidRPr="00EC612A">
        <w:rPr>
          <w:rFonts w:ascii="Book Antiqua" w:hAnsi="Book Antiqua" w:cs="TimesNewRomanPSMT"/>
          <w:kern w:val="1"/>
          <w:sz w:val="24"/>
          <w:szCs w:val="24"/>
        </w:rPr>
        <w:t xml:space="preserve"> from practices that systematically limit evidential access. Instead, the Structuralist View makes a general appeal to social structural processes that includes, but is not limited to, ignorance-incentivizing, cognition-affecting, and evidence-obscuring practices.</w:t>
      </w:r>
    </w:p>
    <w:p w14:paraId="1AC3EA8C" w14:textId="1B17809A"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With some important caveats, I take the abstractness to be a significant advantage of the view. For one, it provides the explanatory power described above— it is able to capture the various layered social structural processes involved in bringing about domination-sustaining ignoran</w:t>
      </w:r>
      <w:r w:rsidR="00BD2299">
        <w:rPr>
          <w:rFonts w:ascii="Book Antiqua" w:hAnsi="Book Antiqua" w:cs="TimesNewRomanPSMT"/>
          <w:kern w:val="1"/>
          <w:sz w:val="24"/>
          <w:szCs w:val="24"/>
        </w:rPr>
        <w:t>c</w:t>
      </w:r>
      <w:r w:rsidRPr="00EC612A">
        <w:rPr>
          <w:rFonts w:ascii="Book Antiqua" w:hAnsi="Book Antiqua" w:cs="TimesNewRomanPSMT"/>
          <w:kern w:val="1"/>
          <w:sz w:val="24"/>
          <w:szCs w:val="24"/>
        </w:rPr>
        <w:t xml:space="preserve">e. At the same time, the general appeal to social structures gives the view important </w:t>
      </w:r>
      <w:r w:rsidRPr="00EC612A">
        <w:rPr>
          <w:rFonts w:ascii="Book Antiqua" w:hAnsi="Book Antiqua" w:cs="TimesNewRomanPSMT"/>
          <w:i/>
          <w:kern w:val="1"/>
          <w:sz w:val="24"/>
          <w:szCs w:val="24"/>
        </w:rPr>
        <w:t>flexibility:</w:t>
      </w:r>
      <w:r w:rsidRPr="00EC612A">
        <w:rPr>
          <w:rFonts w:ascii="Book Antiqua" w:hAnsi="Book Antiqua" w:cs="TimesNewRomanPSMT"/>
          <w:kern w:val="1"/>
          <w:sz w:val="24"/>
          <w:szCs w:val="24"/>
        </w:rPr>
        <w:t xml:space="preserve"> it allows the view to not only capture current nuances and complexities, but also the possible evolution of those nuances and complexities. For instance, we have already observed a shift from explicitly racist ideology and </w:t>
      </w:r>
      <w:r w:rsidRPr="00EC612A">
        <w:rPr>
          <w:rFonts w:ascii="Book Antiqua" w:hAnsi="Book Antiqua" w:cs="TimesNewRomanPSMT"/>
          <w:i/>
          <w:kern w:val="1"/>
          <w:sz w:val="24"/>
          <w:szCs w:val="24"/>
        </w:rPr>
        <w:t>de jure</w:t>
      </w:r>
      <w:r w:rsidRPr="00EC612A">
        <w:rPr>
          <w:rFonts w:ascii="Book Antiqua" w:hAnsi="Book Antiqua" w:cs="TimesNewRomanPSMT"/>
          <w:kern w:val="1"/>
          <w:sz w:val="24"/>
          <w:szCs w:val="24"/>
        </w:rPr>
        <w:t xml:space="preserve"> racist policies, to colorblind ideology and </w:t>
      </w:r>
      <w:r w:rsidRPr="00EC612A">
        <w:rPr>
          <w:rFonts w:ascii="Book Antiqua" w:hAnsi="Book Antiqua" w:cs="TimesNewRomanPSMT"/>
          <w:i/>
          <w:kern w:val="1"/>
          <w:sz w:val="24"/>
          <w:szCs w:val="24"/>
        </w:rPr>
        <w:t>de facto</w:t>
      </w:r>
      <w:r w:rsidRPr="00EC612A">
        <w:rPr>
          <w:rFonts w:ascii="Book Antiqua" w:hAnsi="Book Antiqua" w:cs="TimesNewRomanPSMT"/>
          <w:kern w:val="1"/>
          <w:sz w:val="24"/>
          <w:szCs w:val="24"/>
        </w:rPr>
        <w:t xml:space="preserve"> racist policies. The power and flexibility that come with the abstractness of the view allow us to track these changes. This also allows the view to avoid the worry that normative analyses will tend to oversimplify the problems they seek to address— the view makes room for the complexity of white racial domination over time.</w:t>
      </w:r>
    </w:p>
    <w:p w14:paraId="6909C32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Importantly— and this brings me to the caveats— the generality of the view should not be treated as an end point, but should rather be viewed as a starting point for inquiring into the details of white ignorance and white racial domination at any given time. The general reference to social structural processes should prompt us to consider not only which of the processes that we are already familiar with might be playing a role in white ignorance, but also whether processes that we have not yet have considered might be involved. So long as it is accompanied by inquiry into the concrete details, the abstractness of the structuralist view allows us not only to better understand what is happening now, but also keeps us alert to new, or previously unconsidered, possibilities. In so doing, it is a valuable tool for conceptualizing the epistemic dimensions of white racial domination. </w:t>
      </w:r>
    </w:p>
    <w:p w14:paraId="68E6182C"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36902474" w14:textId="77777777"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Costs of the Structuralist View</w:t>
      </w:r>
    </w:p>
    <w:p w14:paraId="52D350F4"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I have spent considerable time articulating what I take to be the main benefits of the structuralist view. But the fact that the view has considerable benefits does not mean it is altogether costless. </w:t>
      </w:r>
    </w:p>
    <w:p w14:paraId="0FD5802D"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I have already alluded to one cost of the Structuralist View: because of its generality, the structuralist view of white ignorance shifts much of the burden of filling out a precise picture of white ignorance to the user. Although I have done some work to show how we might fill in some of these details in the current context through my discussion, gains in explanatory coverage (3b) come at the cost of loss of detail when explaining how exactly social practices give rise to white ignorance. This is in contrast to the Willful Ignorance View and Cognitivist Views, which reference more specific mechanisms of motivated reasoning, distorted reasoning, and avoidance in order to flesh out a more concrete picture of white ignorance. There is a necessary trade-off here. The more specific and concrete the view, the better it reflects the pressing problems of here and now— but also the more likely it is to exclude important but as-yet-unconsidered factors, and to struggle to capture the problems of tomorrow. Because I take it that figuring out the details of white ignorance and white racial domination is anyhow going to be a matter of continual inquiry, I take this cost to be well worth the benefit of providing a powerful and flexible template for this inquiry.</w:t>
      </w:r>
    </w:p>
    <w:p w14:paraId="0CA3088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 xml:space="preserve">Another cost is that, in shifting the focus away from individual agents, it (like the Cognitivist View) makes ascriptions of blame less straightforward, and dulls the blow of calling someone white ignorant. However, it should be noted that the view does not rule out individual responsibility. There can still be cases where agents are culpably ignorant, because (for example) they have engaged in motivated reasoning or failed to pursue inquiries they should have pursued. Further, there are conceptual tools one can draw on to regain rhetorical force— for instance, by claiming that someone is </w:t>
      </w:r>
      <w:r w:rsidRPr="00EC612A">
        <w:rPr>
          <w:rFonts w:ascii="Book Antiqua" w:hAnsi="Book Antiqua" w:cs="TimesNewRomanPSMT"/>
          <w:i/>
          <w:kern w:val="1"/>
          <w:sz w:val="24"/>
          <w:szCs w:val="24"/>
        </w:rPr>
        <w:t>willfully</w:t>
      </w:r>
      <w:r w:rsidRPr="00EC612A">
        <w:rPr>
          <w:rFonts w:ascii="Book Antiqua" w:hAnsi="Book Antiqua" w:cs="TimesNewRomanPSMT"/>
          <w:kern w:val="1"/>
          <w:sz w:val="24"/>
          <w:szCs w:val="24"/>
        </w:rPr>
        <w:t xml:space="preserve"> (or </w:t>
      </w:r>
      <w:r w:rsidRPr="00EC612A">
        <w:rPr>
          <w:rFonts w:ascii="Book Antiqua" w:hAnsi="Book Antiqua" w:cs="TimesNewRomanPSMT"/>
          <w:i/>
          <w:kern w:val="1"/>
          <w:sz w:val="24"/>
          <w:szCs w:val="24"/>
        </w:rPr>
        <w:t>culpably</w:t>
      </w:r>
      <w:r w:rsidRPr="00EC612A">
        <w:rPr>
          <w:rFonts w:ascii="Book Antiqua" w:hAnsi="Book Antiqua" w:cs="TimesNewRomanPSMT"/>
          <w:kern w:val="1"/>
          <w:sz w:val="24"/>
          <w:szCs w:val="24"/>
        </w:rPr>
        <w:t xml:space="preserve">) white ignorant. </w:t>
      </w:r>
    </w:p>
    <w:p w14:paraId="658AF623"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Moreover, I think that there are associated benefits that help offset these costs. Pragmatically, the shift away from individual intention and agency helps prevent discussions of white ignorance from becoming bogged down in debates about the motivations of individual agents. By shifting attention to the ways in which individuals’ ignorance contributes to these structural problems, the view allows for a more forward-looking approach that can sidestep questions about individual’s characters when it is more important to focus on the fact that there is a problem that needs correcting.</w:t>
      </w:r>
      <w:r w:rsidRPr="00EC612A">
        <w:rPr>
          <w:rFonts w:ascii="Book Antiqua" w:hAnsi="Book Antiqua" w:cs="TimesNewRomanPSMT"/>
          <w:kern w:val="1"/>
          <w:sz w:val="24"/>
          <w:szCs w:val="24"/>
          <w:vertAlign w:val="superscript"/>
        </w:rPr>
        <w:footnoteReference w:id="39"/>
      </w:r>
    </w:p>
    <w:p w14:paraId="1F11876A"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More theoretically, the structuralist view calls for a shift from thinking solely in terms of individual responsibility, to also considering collective and shared responsibility.</w:t>
      </w:r>
      <w:r w:rsidRPr="00EC612A">
        <w:rPr>
          <w:rFonts w:ascii="Book Antiqua" w:hAnsi="Book Antiqua" w:cs="TimesNewRomanPSMT"/>
          <w:kern w:val="1"/>
          <w:sz w:val="24"/>
          <w:szCs w:val="24"/>
          <w:vertAlign w:val="superscript"/>
        </w:rPr>
        <w:footnoteReference w:id="40"/>
      </w:r>
      <w:r w:rsidRPr="00EC612A">
        <w:rPr>
          <w:rFonts w:ascii="Book Antiqua" w:hAnsi="Book Antiqua" w:cs="TimesNewRomanPSMT"/>
          <w:kern w:val="1"/>
          <w:sz w:val="24"/>
          <w:szCs w:val="24"/>
        </w:rPr>
        <w:t xml:space="preserve"> Thinking about willful ignorance is helpful here. While willful ignorance (much like active ignorance) is traditionally spelled out in terms of an individual agent who, in some sense, chooses to be ignorant, our discussion of white ignorance suggests that this picture can and should be complicated in various ways.</w:t>
      </w:r>
      <w:r w:rsidRPr="00EC612A">
        <w:rPr>
          <w:rFonts w:ascii="Book Antiqua" w:hAnsi="Book Antiqua" w:cs="TimesNewRomanPSMT"/>
          <w:kern w:val="1"/>
          <w:sz w:val="24"/>
          <w:szCs w:val="24"/>
          <w:vertAlign w:val="superscript"/>
        </w:rPr>
        <w:footnoteReference w:id="41"/>
      </w:r>
      <w:r w:rsidRPr="00EC612A">
        <w:rPr>
          <w:rFonts w:ascii="Book Antiqua" w:hAnsi="Book Antiqua" w:cs="TimesNewRomanPSMT"/>
          <w:kern w:val="1"/>
          <w:sz w:val="24"/>
          <w:szCs w:val="24"/>
        </w:rPr>
        <w:t xml:space="preserve"> First, the structuralist view reveals ways in which social structural processes can facilitate an individual’s willful ignorance by making information (e.g. information about redlining or police brutality) more difficult to obtain (e.g. through historic erasure or housing segregation). For example, while Rebecca from </w:t>
      </w:r>
      <w:r w:rsidRPr="00EC612A">
        <w:rPr>
          <w:rFonts w:ascii="Book Antiqua" w:hAnsi="Book Antiqua" w:cs="TimesNewRomanPSMT"/>
          <w:i/>
          <w:kern w:val="1"/>
          <w:sz w:val="24"/>
          <w:szCs w:val="24"/>
        </w:rPr>
        <w:t>Racial Exclusion</w:t>
      </w:r>
      <w:r w:rsidRPr="00EC612A">
        <w:rPr>
          <w:rFonts w:ascii="Book Antiqua" w:hAnsi="Book Antiqua" w:cs="TimesNewRomanPSMT"/>
          <w:kern w:val="1"/>
          <w:sz w:val="24"/>
          <w:szCs w:val="24"/>
        </w:rPr>
        <w:t xml:space="preserve"> may avoid doing research in order to avoid knowing the truth about racial oppression, it is significant that our social practices make it easy for her to avoid becoming acquainted with the relevant information. Our practices should make willful ignorance about racial oppression </w:t>
      </w:r>
      <w:r w:rsidRPr="00EC612A">
        <w:rPr>
          <w:rFonts w:ascii="Book Antiqua" w:hAnsi="Book Antiqua" w:cs="TimesNewRomanPSMT"/>
          <w:i/>
          <w:kern w:val="1"/>
          <w:sz w:val="24"/>
          <w:szCs w:val="24"/>
        </w:rPr>
        <w:t>difficult</w:t>
      </w:r>
      <w:r w:rsidRPr="00EC612A">
        <w:rPr>
          <w:rFonts w:ascii="Book Antiqua" w:hAnsi="Book Antiqua" w:cs="TimesNewRomanPSMT"/>
          <w:kern w:val="1"/>
          <w:sz w:val="24"/>
          <w:szCs w:val="24"/>
        </w:rPr>
        <w:t xml:space="preserve"> to maintain, when instead they make such ignorance easy to cultivate and sustain. Insofar as we contribute to processes that facilitate individuals’ willful ignorance, it would seem that we share a responsibility to transform our practices. Relatedly, insofar as we, collectively, approve and implement the social practices that underpin white ignorance, it is plausible that we, collectively, are willfully ignorant as a result (and so have a collective responsibility to change our practices). This is both practically and theoretically significant. It is practically significant insofar as recognition of shared and collection responsibility should help to spur action to address these problems. But it is also theoretically significant insofar as it forces us to rethink and expand traditional conceptions of willful ignorance in order to make room for these nuances. Thus, because it helps to bring the importance of shared and collective responsibility into greater relief, the shift in focus away from individual agency comes with practical and theoretical benefits that help offset the cost of complicating ascriptions of individual responsibility.</w:t>
      </w:r>
    </w:p>
    <w:p w14:paraId="7E84BA28"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Ultimately, there is a question of what one takes to be of greater importance. As I have indicated, I take the central aim of providing an account of white ignorance to be to help us better understand the mechanisms that sustain white racial domination, so that we may strategically intervene to remedy racial injustice. As such, I take explanatory power to be more important than ascribing blame in this context. This is not to deny that we will need an account of responsibility. As part of our theory-building around (racial) oppression, we will need a forward-looking account of responsibility that tells us what parts we, as individuals occupying particular social locations, and we, as a collective(s), are to play in remedying structural injustice. But I take this to be a separate and more general part of the overarching project— one that should be informed, in part, by an account of white ignorance that best helps us to understand what it is that needs to be remedied. At this stage, what we need is an account of white ignorance that helps us to best diagnose the epistemic dimensions of the problem of racial oppression, and I have argued that the Structuralist View is the best account on offer to do that.</w:t>
      </w:r>
    </w:p>
    <w:p w14:paraId="5E3A50EF" w14:textId="77777777" w:rsidR="004C162B" w:rsidRPr="00EC612A" w:rsidRDefault="004C162B" w:rsidP="004C162B">
      <w:pPr>
        <w:tabs>
          <w:tab w:val="left" w:pos="1440"/>
          <w:tab w:val="left" w:pos="2160"/>
          <w:tab w:val="left" w:pos="2880"/>
        </w:tabs>
        <w:spacing w:line="360" w:lineRule="auto"/>
        <w:rPr>
          <w:rFonts w:ascii="Book Antiqua" w:hAnsi="Book Antiqua" w:cs="TimesNewRomanPSMT"/>
          <w:b/>
          <w:kern w:val="1"/>
          <w:sz w:val="24"/>
          <w:szCs w:val="24"/>
        </w:rPr>
      </w:pPr>
    </w:p>
    <w:p w14:paraId="5B3FFA25" w14:textId="7E3FD1D0" w:rsidR="00D567D5" w:rsidRPr="00EC612A" w:rsidRDefault="004C57BD" w:rsidP="004C162B">
      <w:pPr>
        <w:tabs>
          <w:tab w:val="left" w:pos="1440"/>
          <w:tab w:val="left" w:pos="2160"/>
          <w:tab w:val="left" w:pos="2880"/>
        </w:tabs>
        <w:spacing w:line="360" w:lineRule="auto"/>
        <w:rPr>
          <w:rFonts w:ascii="Book Antiqua" w:hAnsi="Book Antiqua" w:cs="TimesNewRomanPSMT"/>
          <w:b/>
          <w:kern w:val="1"/>
          <w:sz w:val="24"/>
          <w:szCs w:val="24"/>
        </w:rPr>
      </w:pPr>
      <w:r w:rsidRPr="00EC612A">
        <w:rPr>
          <w:rFonts w:ascii="Book Antiqua" w:hAnsi="Book Antiqua" w:cs="TimesNewRomanPSMT"/>
          <w:b/>
          <w:kern w:val="1"/>
          <w:sz w:val="24"/>
          <w:szCs w:val="24"/>
        </w:rPr>
        <w:t>5. Conclusion</w:t>
      </w:r>
    </w:p>
    <w:p w14:paraId="406C4465"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In this paper, I have completed three main tasks for the purpose of determining how we should develop the notion of white ignorance. First, I have identified four core desiderata for an account of white ignorance that consider what such an account would have to accomplish in order to satisfy the theoretical and political aims of a critical, liberatory project focused on the epistemic dimensions of racial oppression. Second, I have mapped out three views of white ignorance, two of which are reconstructed from the literature (viz. the Willful Ignorance and Cognitivist views), and the third which is my own novel contribution. Third, I have considered the strengths and weaknesses of each of these views, in order to determine which we should use to develop our understanding of ‘white ignorance.’</w:t>
      </w:r>
    </w:p>
    <w:p w14:paraId="1488A033" w14:textId="77777777" w:rsidR="00D567D5" w:rsidRPr="00EC612A" w:rsidRDefault="004C57BD" w:rsidP="000475AD">
      <w:pPr>
        <w:tabs>
          <w:tab w:val="left" w:pos="1440"/>
          <w:tab w:val="left" w:pos="2160"/>
          <w:tab w:val="left" w:pos="2880"/>
        </w:tabs>
        <w:spacing w:line="360" w:lineRule="auto"/>
        <w:ind w:firstLine="720"/>
        <w:rPr>
          <w:rFonts w:ascii="Book Antiqua" w:hAnsi="Book Antiqua" w:cs="TimesNewRomanPSMT"/>
          <w:kern w:val="1"/>
          <w:sz w:val="24"/>
          <w:szCs w:val="24"/>
        </w:rPr>
      </w:pPr>
      <w:r w:rsidRPr="00EC612A">
        <w:rPr>
          <w:rFonts w:ascii="Book Antiqua" w:hAnsi="Book Antiqua" w:cs="TimesNewRomanPSMT"/>
          <w:kern w:val="1"/>
          <w:sz w:val="24"/>
          <w:szCs w:val="24"/>
        </w:rPr>
        <w:t>Ultimately, I have argued that the Structuralist View is to be preferred. This is because the Structuralist View best helps us to explain the patterns of ignorance that we observe, the persistence of racial inequality, and the connections between white ignorance and white racial domination. The benefits of the Structuralist View arise from its power and flexibility. The view is powerful because it allows that many, diverse kinds of social structures can play a role in giving rise to white ignorance and white racial domination. This, in turn, allows it to better account for both the patterns of ignorance that we observe today, and the persistence of racial inequality. The Structuralist View is flexible because it does not restrict the kinds of structural processes that can play a role in white ignorance, but instead refers to abstract social structures. This, in turn, allows the view to capture the ways in which the structures that support white ignorance and white racial domination have shifted, and may continue to shift, over time, while also ensuring that the view is neither overly narrow nor paints an overly rosy picture of the problem to be resolved. Together, this power and flexibility mean that the Structuralist View performs better than the alternatives when it comes to fulfilling the explanatory roles of white ignorance, and provides a valuable tool for conceptualizing and practically reasoning about white ignorance and white racial domination. As such, I conclude that our notion of white ignorance should be a Structuralist one.</w:t>
      </w:r>
    </w:p>
    <w:p w14:paraId="54017A25" w14:textId="77777777" w:rsidR="007D5F22" w:rsidRPr="00EC612A" w:rsidRDefault="007D5F22">
      <w:pPr>
        <w:widowControl/>
        <w:autoSpaceDE/>
        <w:autoSpaceDN/>
        <w:adjustRightInd/>
        <w:rPr>
          <w:rFonts w:ascii="Book Antiqua" w:hAnsi="Book Antiqua" w:cs="TimesNewRomanPSMT"/>
          <w:b/>
          <w:kern w:val="1"/>
          <w:sz w:val="36"/>
          <w:szCs w:val="24"/>
        </w:rPr>
      </w:pPr>
      <w:r w:rsidRPr="00EC612A">
        <w:rPr>
          <w:rFonts w:ascii="Book Antiqua" w:hAnsi="Book Antiqua" w:cs="TimesNewRomanPSMT"/>
          <w:kern w:val="1"/>
          <w:szCs w:val="24"/>
        </w:rPr>
        <w:br w:type="page"/>
      </w:r>
    </w:p>
    <w:p w14:paraId="54FD637D" w14:textId="57B7C6DD" w:rsidR="005F7717" w:rsidRPr="00EC612A" w:rsidRDefault="004C57BD" w:rsidP="007D5F22">
      <w:pPr>
        <w:pStyle w:val="Heading1"/>
        <w:spacing w:line="360" w:lineRule="auto"/>
        <w:jc w:val="center"/>
        <w:rPr>
          <w:rFonts w:ascii="Book Antiqua" w:hAnsi="Book Antiqua" w:cs="TimesNewRomanPSMT"/>
          <w:kern w:val="1"/>
          <w:sz w:val="24"/>
          <w:szCs w:val="24"/>
        </w:rPr>
      </w:pPr>
      <w:r w:rsidRPr="00EC612A">
        <w:rPr>
          <w:rFonts w:ascii="Book Antiqua" w:hAnsi="Book Antiqua" w:cs="TimesNewRomanPSMT"/>
          <w:kern w:val="1"/>
          <w:sz w:val="24"/>
          <w:szCs w:val="24"/>
        </w:rPr>
        <w:t>Bibliography</w:t>
      </w:r>
    </w:p>
    <w:p w14:paraId="17DEA20E" w14:textId="77777777" w:rsidR="005F7717" w:rsidRPr="00EC612A" w:rsidRDefault="005F7717" w:rsidP="007D5F22">
      <w:pPr>
        <w:pStyle w:val="EndNoteBibliography"/>
        <w:spacing w:line="276" w:lineRule="auto"/>
        <w:ind w:left="720" w:hanging="720"/>
        <w:rPr>
          <w:rFonts w:ascii="Book Antiqua" w:hAnsi="Book Antiqua"/>
          <w:noProof/>
          <w:sz w:val="24"/>
          <w:szCs w:val="24"/>
        </w:rPr>
      </w:pPr>
      <w:r w:rsidRPr="00EC612A">
        <w:rPr>
          <w:rFonts w:ascii="Book Antiqua" w:hAnsi="Book Antiqua" w:cs="TimesNewRomanPSMT"/>
          <w:kern w:val="1"/>
          <w:sz w:val="24"/>
          <w:szCs w:val="24"/>
        </w:rPr>
        <w:fldChar w:fldCharType="begin"/>
      </w:r>
      <w:r w:rsidRPr="00EC612A">
        <w:rPr>
          <w:rFonts w:ascii="Book Antiqua" w:hAnsi="Book Antiqua" w:cs="TimesNewRomanPSMT"/>
          <w:kern w:val="1"/>
          <w:sz w:val="24"/>
          <w:szCs w:val="24"/>
        </w:rPr>
        <w:instrText xml:space="preserve"> ADDIN EN.REFLIST </w:instrText>
      </w:r>
      <w:r w:rsidRPr="00EC612A">
        <w:rPr>
          <w:rFonts w:ascii="Book Antiqua" w:hAnsi="Book Antiqua" w:cs="TimesNewRomanPSMT"/>
          <w:kern w:val="1"/>
          <w:sz w:val="24"/>
          <w:szCs w:val="24"/>
        </w:rPr>
        <w:fldChar w:fldCharType="separate"/>
      </w:r>
      <w:bookmarkStart w:id="1" w:name="_ENREF_1"/>
      <w:r w:rsidRPr="00EC612A">
        <w:rPr>
          <w:rFonts w:ascii="Book Antiqua" w:hAnsi="Book Antiqua"/>
          <w:noProof/>
          <w:sz w:val="24"/>
          <w:szCs w:val="24"/>
        </w:rPr>
        <w:t xml:space="preserve">2017 National Healthcare Quality and Disparities Report. (2018). (AHRQ Pub. No. 18-0033-EF). </w:t>
      </w:r>
      <w:bookmarkEnd w:id="1"/>
    </w:p>
    <w:p w14:paraId="52FBBF4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 w:name="_ENREF_2"/>
      <w:r w:rsidRPr="00EC612A">
        <w:rPr>
          <w:rFonts w:ascii="Book Antiqua" w:hAnsi="Book Antiqua"/>
          <w:noProof/>
          <w:sz w:val="24"/>
          <w:szCs w:val="24"/>
        </w:rPr>
        <w:t xml:space="preserve">Alcoff, L. M. (2007). Epistemologies of ignorance: Three types. </w:t>
      </w:r>
      <w:bookmarkEnd w:id="2"/>
    </w:p>
    <w:p w14:paraId="1EE6494F"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 w:name="_ENREF_3"/>
      <w:r w:rsidRPr="00EC612A">
        <w:rPr>
          <w:rFonts w:ascii="Book Antiqua" w:hAnsi="Book Antiqua"/>
          <w:noProof/>
          <w:sz w:val="24"/>
          <w:szCs w:val="24"/>
        </w:rPr>
        <w:t>Bailey, A. (2017). Tracking Privilege</w:t>
      </w:r>
      <w:r w:rsidRPr="00EC612A">
        <w:rPr>
          <w:rFonts w:ascii="American Typewriter" w:hAnsi="American Typewriter" w:cs="American Typewriter"/>
          <w:noProof/>
          <w:sz w:val="24"/>
          <w:szCs w:val="24"/>
        </w:rPr>
        <w:t>‐</w:t>
      </w:r>
      <w:r w:rsidRPr="00EC612A">
        <w:rPr>
          <w:rFonts w:ascii="Book Antiqua" w:hAnsi="Book Antiqua"/>
          <w:noProof/>
          <w:sz w:val="24"/>
          <w:szCs w:val="24"/>
        </w:rPr>
        <w:t xml:space="preserve">Preserving Epistemic Pushback in Feminist and Critical Race Philosophy Classes. </w:t>
      </w:r>
      <w:r w:rsidRPr="00EC612A">
        <w:rPr>
          <w:rFonts w:ascii="Book Antiqua" w:hAnsi="Book Antiqua"/>
          <w:i/>
          <w:noProof/>
          <w:sz w:val="24"/>
          <w:szCs w:val="24"/>
        </w:rPr>
        <w:t>Hypatia, 32</w:t>
      </w:r>
      <w:r w:rsidRPr="00EC612A">
        <w:rPr>
          <w:rFonts w:ascii="Book Antiqua" w:hAnsi="Book Antiqua"/>
          <w:noProof/>
          <w:sz w:val="24"/>
          <w:szCs w:val="24"/>
        </w:rPr>
        <w:t xml:space="preserve">(4), 876-892. </w:t>
      </w:r>
      <w:bookmarkEnd w:id="3"/>
    </w:p>
    <w:p w14:paraId="039723D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 w:name="_ENREF_4"/>
      <w:r w:rsidRPr="00EC612A">
        <w:rPr>
          <w:rFonts w:ascii="Book Antiqua" w:hAnsi="Book Antiqua"/>
          <w:noProof/>
          <w:sz w:val="24"/>
          <w:szCs w:val="24"/>
        </w:rPr>
        <w:t xml:space="preserve">Begby, E. (2013). The epistemology of prejudice. </w:t>
      </w:r>
      <w:r w:rsidRPr="00EC612A">
        <w:rPr>
          <w:rFonts w:ascii="Book Antiqua" w:hAnsi="Book Antiqua"/>
          <w:i/>
          <w:noProof/>
          <w:sz w:val="24"/>
          <w:szCs w:val="24"/>
        </w:rPr>
        <w:t>Thought: A Journal of Philosophy, 2</w:t>
      </w:r>
      <w:r w:rsidRPr="00EC612A">
        <w:rPr>
          <w:rFonts w:ascii="Book Antiqua" w:hAnsi="Book Antiqua"/>
          <w:noProof/>
          <w:sz w:val="24"/>
          <w:szCs w:val="24"/>
        </w:rPr>
        <w:t xml:space="preserve">(2), 90-99. </w:t>
      </w:r>
      <w:bookmarkEnd w:id="4"/>
    </w:p>
    <w:p w14:paraId="58475F53"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 w:name="_ENREF_5"/>
      <w:r w:rsidRPr="00EC612A">
        <w:rPr>
          <w:rFonts w:ascii="Book Antiqua" w:hAnsi="Book Antiqua"/>
          <w:noProof/>
          <w:sz w:val="24"/>
          <w:szCs w:val="24"/>
        </w:rPr>
        <w:t xml:space="preserve">Burgess, A., &amp; Plunkett, D. (2013a). Conceptual ethics I. </w:t>
      </w:r>
      <w:r w:rsidRPr="00EC612A">
        <w:rPr>
          <w:rFonts w:ascii="Book Antiqua" w:hAnsi="Book Antiqua"/>
          <w:i/>
          <w:noProof/>
          <w:sz w:val="24"/>
          <w:szCs w:val="24"/>
        </w:rPr>
        <w:t>Philosophy Compass, 8</w:t>
      </w:r>
      <w:r w:rsidRPr="00EC612A">
        <w:rPr>
          <w:rFonts w:ascii="Book Antiqua" w:hAnsi="Book Antiqua"/>
          <w:noProof/>
          <w:sz w:val="24"/>
          <w:szCs w:val="24"/>
        </w:rPr>
        <w:t xml:space="preserve">(12), 1091-1101. </w:t>
      </w:r>
      <w:bookmarkEnd w:id="5"/>
    </w:p>
    <w:p w14:paraId="4520DA07"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6" w:name="_ENREF_6"/>
      <w:r w:rsidRPr="00EC612A">
        <w:rPr>
          <w:rFonts w:ascii="Book Antiqua" w:hAnsi="Book Antiqua"/>
          <w:noProof/>
          <w:sz w:val="24"/>
          <w:szCs w:val="24"/>
        </w:rPr>
        <w:t xml:space="preserve">Burgess, A., &amp; Plunkett, D. (2013b). Conceptual Ethics II. </w:t>
      </w:r>
      <w:r w:rsidRPr="00EC612A">
        <w:rPr>
          <w:rFonts w:ascii="Book Antiqua" w:hAnsi="Book Antiqua"/>
          <w:i/>
          <w:noProof/>
          <w:sz w:val="24"/>
          <w:szCs w:val="24"/>
        </w:rPr>
        <w:t>Philosophy Compass, 8</w:t>
      </w:r>
      <w:r w:rsidRPr="00EC612A">
        <w:rPr>
          <w:rFonts w:ascii="Book Antiqua" w:hAnsi="Book Antiqua"/>
          <w:noProof/>
          <w:sz w:val="24"/>
          <w:szCs w:val="24"/>
        </w:rPr>
        <w:t xml:space="preserve">(12), 1102-1110. </w:t>
      </w:r>
      <w:bookmarkEnd w:id="6"/>
    </w:p>
    <w:p w14:paraId="1859277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7" w:name="_ENREF_7"/>
      <w:r w:rsidRPr="00EC612A">
        <w:rPr>
          <w:rFonts w:ascii="Book Antiqua" w:hAnsi="Book Antiqua"/>
          <w:noProof/>
          <w:sz w:val="24"/>
          <w:szCs w:val="24"/>
        </w:rPr>
        <w:t xml:space="preserve">Cappelen, H. (2018). </w:t>
      </w:r>
      <w:r w:rsidRPr="00EC612A">
        <w:rPr>
          <w:rFonts w:ascii="Book Antiqua" w:hAnsi="Book Antiqua"/>
          <w:i/>
          <w:noProof/>
          <w:sz w:val="24"/>
          <w:szCs w:val="24"/>
        </w:rPr>
        <w:t>Fixing language: An essay on conceptual engineering</w:t>
      </w:r>
      <w:r w:rsidRPr="00EC612A">
        <w:rPr>
          <w:rFonts w:ascii="Book Antiqua" w:hAnsi="Book Antiqua"/>
          <w:noProof/>
          <w:sz w:val="24"/>
          <w:szCs w:val="24"/>
        </w:rPr>
        <w:t>: Oxford University Press.</w:t>
      </w:r>
      <w:bookmarkEnd w:id="7"/>
    </w:p>
    <w:p w14:paraId="2F4AFF48"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8" w:name="_ENREF_8"/>
      <w:r w:rsidRPr="00EC612A">
        <w:rPr>
          <w:rFonts w:ascii="Book Antiqua" w:hAnsi="Book Antiqua"/>
          <w:noProof/>
          <w:sz w:val="24"/>
          <w:szCs w:val="24"/>
        </w:rPr>
        <w:t xml:space="preserve">Coates, T.-N. (2014). The case for reparations. </w:t>
      </w:r>
      <w:r w:rsidRPr="00EC612A">
        <w:rPr>
          <w:rFonts w:ascii="Book Antiqua" w:hAnsi="Book Antiqua"/>
          <w:i/>
          <w:noProof/>
          <w:sz w:val="24"/>
          <w:szCs w:val="24"/>
        </w:rPr>
        <w:t>The Atlantic, 313</w:t>
      </w:r>
      <w:r w:rsidRPr="00EC612A">
        <w:rPr>
          <w:rFonts w:ascii="Book Antiqua" w:hAnsi="Book Antiqua"/>
          <w:noProof/>
          <w:sz w:val="24"/>
          <w:szCs w:val="24"/>
        </w:rPr>
        <w:t xml:space="preserve">(5), 54-71. </w:t>
      </w:r>
      <w:bookmarkEnd w:id="8"/>
    </w:p>
    <w:p w14:paraId="6B302FD7"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9" w:name="_ENREF_9"/>
      <w:r w:rsidRPr="00EC612A">
        <w:rPr>
          <w:rFonts w:ascii="Book Antiqua" w:hAnsi="Book Antiqua"/>
          <w:noProof/>
          <w:sz w:val="24"/>
          <w:szCs w:val="24"/>
        </w:rPr>
        <w:t xml:space="preserve">Commission, U. S. S. (2018). Demographic differences in sentencing: An update to the 2012 Booker report. </w:t>
      </w:r>
      <w:r w:rsidRPr="00EC612A">
        <w:rPr>
          <w:rFonts w:ascii="Book Antiqua" w:hAnsi="Book Antiqua"/>
          <w:i/>
          <w:noProof/>
          <w:sz w:val="24"/>
          <w:szCs w:val="24"/>
        </w:rPr>
        <w:t>Federal Sentencing Reporter, 30</w:t>
      </w:r>
      <w:r w:rsidRPr="00EC612A">
        <w:rPr>
          <w:rFonts w:ascii="Book Antiqua" w:hAnsi="Book Antiqua"/>
          <w:noProof/>
          <w:sz w:val="24"/>
          <w:szCs w:val="24"/>
        </w:rPr>
        <w:t xml:space="preserve">(3), 212-229. </w:t>
      </w:r>
      <w:bookmarkEnd w:id="9"/>
    </w:p>
    <w:p w14:paraId="32A83E45"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0" w:name="_ENREF_10"/>
      <w:r w:rsidRPr="00EC612A">
        <w:rPr>
          <w:rFonts w:ascii="Book Antiqua" w:hAnsi="Book Antiqua"/>
          <w:noProof/>
          <w:sz w:val="24"/>
          <w:szCs w:val="24"/>
        </w:rPr>
        <w:t xml:space="preserve">Cummins, R. (1975). Functional analysis. </w:t>
      </w:r>
      <w:r w:rsidRPr="00EC612A">
        <w:rPr>
          <w:rFonts w:ascii="Book Antiqua" w:hAnsi="Book Antiqua"/>
          <w:i/>
          <w:noProof/>
          <w:sz w:val="24"/>
          <w:szCs w:val="24"/>
        </w:rPr>
        <w:t>Journal of Philosophy, 72</w:t>
      </w:r>
      <w:r w:rsidRPr="00EC612A">
        <w:rPr>
          <w:rFonts w:ascii="Book Antiqua" w:hAnsi="Book Antiqua"/>
          <w:noProof/>
          <w:sz w:val="24"/>
          <w:szCs w:val="24"/>
        </w:rPr>
        <w:t xml:space="preserve">(November), 741-764. </w:t>
      </w:r>
      <w:bookmarkEnd w:id="10"/>
    </w:p>
    <w:p w14:paraId="7B69BDF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1" w:name="_ENREF_11"/>
      <w:r w:rsidRPr="00EC612A">
        <w:rPr>
          <w:rFonts w:ascii="Book Antiqua" w:hAnsi="Book Antiqua"/>
          <w:noProof/>
          <w:sz w:val="24"/>
          <w:szCs w:val="24"/>
        </w:rPr>
        <w:t xml:space="preserve">Davidson, L. J., &amp; Kelly, D. (2018). Minding the gap: Bias, soft structures, and the double life of social norms. </w:t>
      </w:r>
      <w:r w:rsidRPr="00EC612A">
        <w:rPr>
          <w:rFonts w:ascii="Book Antiqua" w:hAnsi="Book Antiqua"/>
          <w:i/>
          <w:noProof/>
          <w:sz w:val="24"/>
          <w:szCs w:val="24"/>
        </w:rPr>
        <w:t>Journal of Applied Philosophy</w:t>
      </w:r>
      <w:r w:rsidRPr="00EC612A">
        <w:rPr>
          <w:rFonts w:ascii="Book Antiqua" w:hAnsi="Book Antiqua"/>
          <w:noProof/>
          <w:sz w:val="24"/>
          <w:szCs w:val="24"/>
        </w:rPr>
        <w:t xml:space="preserve">. </w:t>
      </w:r>
      <w:bookmarkEnd w:id="11"/>
    </w:p>
    <w:p w14:paraId="22A8E7C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2" w:name="_ENREF_12"/>
      <w:r w:rsidRPr="00EC612A">
        <w:rPr>
          <w:rFonts w:ascii="Book Antiqua" w:hAnsi="Book Antiqua"/>
          <w:noProof/>
          <w:sz w:val="24"/>
          <w:szCs w:val="24"/>
        </w:rPr>
        <w:t xml:space="preserve">Dotson, K. (2018). Accumulating epistemic power: A problem with epistemology. </w:t>
      </w:r>
      <w:r w:rsidRPr="00EC612A">
        <w:rPr>
          <w:rFonts w:ascii="Book Antiqua" w:hAnsi="Book Antiqua"/>
          <w:i/>
          <w:noProof/>
          <w:sz w:val="24"/>
          <w:szCs w:val="24"/>
        </w:rPr>
        <w:t>philosophical topics, 46</w:t>
      </w:r>
      <w:r w:rsidRPr="00EC612A">
        <w:rPr>
          <w:rFonts w:ascii="Book Antiqua" w:hAnsi="Book Antiqua"/>
          <w:noProof/>
          <w:sz w:val="24"/>
          <w:szCs w:val="24"/>
        </w:rPr>
        <w:t xml:space="preserve">(1), 129-154. </w:t>
      </w:r>
      <w:bookmarkEnd w:id="12"/>
    </w:p>
    <w:p w14:paraId="44D152C1"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3" w:name="_ENREF_13"/>
      <w:r w:rsidRPr="00EC612A">
        <w:rPr>
          <w:rFonts w:ascii="Book Antiqua" w:hAnsi="Book Antiqua"/>
          <w:noProof/>
          <w:sz w:val="24"/>
          <w:szCs w:val="24"/>
        </w:rPr>
        <w:t xml:space="preserve">Eberhardt, J. L., Davies, P. G., Purdie-Vaughns, V. J., &amp; Johnson, S. L. (2006). Looking deathworthy: Perceived stereotypicality of Black defendants predicts capital-sentencing outcomes. </w:t>
      </w:r>
      <w:r w:rsidRPr="00EC612A">
        <w:rPr>
          <w:rFonts w:ascii="Book Antiqua" w:hAnsi="Book Antiqua"/>
          <w:i/>
          <w:noProof/>
          <w:sz w:val="24"/>
          <w:szCs w:val="24"/>
        </w:rPr>
        <w:t>Psychological science, 17</w:t>
      </w:r>
      <w:r w:rsidRPr="00EC612A">
        <w:rPr>
          <w:rFonts w:ascii="Book Antiqua" w:hAnsi="Book Antiqua"/>
          <w:noProof/>
          <w:sz w:val="24"/>
          <w:szCs w:val="24"/>
        </w:rPr>
        <w:t xml:space="preserve">(5), 383-386. </w:t>
      </w:r>
      <w:bookmarkEnd w:id="13"/>
    </w:p>
    <w:p w14:paraId="2D608131"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4" w:name="_ENREF_14"/>
      <w:r w:rsidRPr="00EC612A">
        <w:rPr>
          <w:rFonts w:ascii="Book Antiqua" w:hAnsi="Book Antiqua"/>
          <w:noProof/>
          <w:sz w:val="24"/>
          <w:szCs w:val="24"/>
        </w:rPr>
        <w:t xml:space="preserve">Ewans, M. (2003). Belgium and the colonial experience. </w:t>
      </w:r>
      <w:r w:rsidRPr="00EC612A">
        <w:rPr>
          <w:rFonts w:ascii="Book Antiqua" w:hAnsi="Book Antiqua"/>
          <w:i/>
          <w:noProof/>
          <w:sz w:val="24"/>
          <w:szCs w:val="24"/>
        </w:rPr>
        <w:t>Journal of Contemporary European Studies, 11</w:t>
      </w:r>
      <w:r w:rsidRPr="00EC612A">
        <w:rPr>
          <w:rFonts w:ascii="Book Antiqua" w:hAnsi="Book Antiqua"/>
          <w:noProof/>
          <w:sz w:val="24"/>
          <w:szCs w:val="24"/>
        </w:rPr>
        <w:t xml:space="preserve">(2), 167-180. </w:t>
      </w:r>
      <w:bookmarkEnd w:id="14"/>
    </w:p>
    <w:p w14:paraId="6A490EC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5" w:name="_ENREF_15"/>
      <w:r w:rsidRPr="00EC612A">
        <w:rPr>
          <w:rFonts w:ascii="Book Antiqua" w:hAnsi="Book Antiqua"/>
          <w:noProof/>
          <w:sz w:val="24"/>
          <w:szCs w:val="24"/>
        </w:rPr>
        <w:t xml:space="preserve">Fricker, M. (2016). Epistemic injustice and the preservation of ignorance. </w:t>
      </w:r>
      <w:r w:rsidRPr="00EC612A">
        <w:rPr>
          <w:rFonts w:ascii="Book Antiqua" w:hAnsi="Book Antiqua"/>
          <w:i/>
          <w:noProof/>
          <w:sz w:val="24"/>
          <w:szCs w:val="24"/>
        </w:rPr>
        <w:t>The epistemic dimensions of ignorance</w:t>
      </w:r>
      <w:r w:rsidRPr="00EC612A">
        <w:rPr>
          <w:rFonts w:ascii="Book Antiqua" w:hAnsi="Book Antiqua"/>
          <w:noProof/>
          <w:sz w:val="24"/>
          <w:szCs w:val="24"/>
        </w:rPr>
        <w:t xml:space="preserve">, 160-177. </w:t>
      </w:r>
      <w:bookmarkEnd w:id="15"/>
    </w:p>
    <w:p w14:paraId="0FC93AFF"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6" w:name="_ENREF_16"/>
      <w:r w:rsidRPr="00EC612A">
        <w:rPr>
          <w:rFonts w:ascii="Book Antiqua" w:hAnsi="Book Antiqua"/>
          <w:noProof/>
          <w:sz w:val="24"/>
          <w:szCs w:val="24"/>
        </w:rPr>
        <w:t xml:space="preserve">Friedman, J. (2013). Suspended judgment. </w:t>
      </w:r>
      <w:r w:rsidRPr="00EC612A">
        <w:rPr>
          <w:rFonts w:ascii="Book Antiqua" w:hAnsi="Book Antiqua"/>
          <w:i/>
          <w:noProof/>
          <w:sz w:val="24"/>
          <w:szCs w:val="24"/>
        </w:rPr>
        <w:t>Philosophical Studies, 162</w:t>
      </w:r>
      <w:r w:rsidRPr="00EC612A">
        <w:rPr>
          <w:rFonts w:ascii="Book Antiqua" w:hAnsi="Book Antiqua"/>
          <w:noProof/>
          <w:sz w:val="24"/>
          <w:szCs w:val="24"/>
        </w:rPr>
        <w:t xml:space="preserve">(2), 165-181. </w:t>
      </w:r>
      <w:bookmarkEnd w:id="16"/>
    </w:p>
    <w:p w14:paraId="35E8F36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7" w:name="_ENREF_17"/>
      <w:r w:rsidRPr="00EC612A">
        <w:rPr>
          <w:rFonts w:ascii="Book Antiqua" w:hAnsi="Book Antiqua"/>
          <w:noProof/>
          <w:sz w:val="24"/>
          <w:szCs w:val="24"/>
        </w:rPr>
        <w:t xml:space="preserve">Glantz, A., &amp; Martinez, E. (2018). For people of color, banks are shutting the door to homeownership. </w:t>
      </w:r>
      <w:r w:rsidRPr="00EC612A">
        <w:rPr>
          <w:rFonts w:ascii="Book Antiqua" w:hAnsi="Book Antiqua"/>
          <w:i/>
          <w:noProof/>
          <w:sz w:val="24"/>
          <w:szCs w:val="24"/>
        </w:rPr>
        <w:t>Reveal, The Center for Investigative Reporting, 14</w:t>
      </w:r>
      <w:r w:rsidRPr="00EC612A">
        <w:rPr>
          <w:rFonts w:ascii="Book Antiqua" w:hAnsi="Book Antiqua"/>
          <w:noProof/>
          <w:sz w:val="24"/>
          <w:szCs w:val="24"/>
        </w:rPr>
        <w:t xml:space="preserve">. </w:t>
      </w:r>
      <w:bookmarkEnd w:id="17"/>
    </w:p>
    <w:p w14:paraId="44CF4535"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8" w:name="_ENREF_18"/>
      <w:r w:rsidRPr="00EC612A">
        <w:rPr>
          <w:rFonts w:ascii="Book Antiqua" w:hAnsi="Book Antiqua"/>
          <w:noProof/>
          <w:sz w:val="24"/>
          <w:szCs w:val="24"/>
        </w:rPr>
        <w:t xml:space="preserve">Goldberg, S. C. (2018). </w:t>
      </w:r>
      <w:r w:rsidRPr="00EC612A">
        <w:rPr>
          <w:rFonts w:ascii="Book Antiqua" w:hAnsi="Book Antiqua"/>
          <w:i/>
          <w:noProof/>
          <w:sz w:val="24"/>
          <w:szCs w:val="24"/>
        </w:rPr>
        <w:t>To the best of our knowledge: Social expectations and epistemic normativity</w:t>
      </w:r>
      <w:r w:rsidRPr="00EC612A">
        <w:rPr>
          <w:rFonts w:ascii="Book Antiqua" w:hAnsi="Book Antiqua"/>
          <w:noProof/>
          <w:sz w:val="24"/>
          <w:szCs w:val="24"/>
        </w:rPr>
        <w:t>: Oxford University Press.</w:t>
      </w:r>
      <w:bookmarkEnd w:id="18"/>
    </w:p>
    <w:p w14:paraId="5E9EED53"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19" w:name="_ENREF_19"/>
      <w:r w:rsidRPr="00EC612A">
        <w:rPr>
          <w:rFonts w:ascii="Book Antiqua" w:hAnsi="Book Antiqua"/>
          <w:noProof/>
          <w:sz w:val="24"/>
          <w:szCs w:val="24"/>
        </w:rPr>
        <w:t xml:space="preserve">Gray, F. D. (1998). </w:t>
      </w:r>
      <w:r w:rsidRPr="00EC612A">
        <w:rPr>
          <w:rFonts w:ascii="Book Antiqua" w:hAnsi="Book Antiqua"/>
          <w:i/>
          <w:noProof/>
          <w:sz w:val="24"/>
          <w:szCs w:val="24"/>
        </w:rPr>
        <w:t>The Tuskegee syphilis study: The real story and beyond</w:t>
      </w:r>
      <w:r w:rsidRPr="00EC612A">
        <w:rPr>
          <w:rFonts w:ascii="Book Antiqua" w:hAnsi="Book Antiqua"/>
          <w:noProof/>
          <w:sz w:val="24"/>
          <w:szCs w:val="24"/>
        </w:rPr>
        <w:t>: NewSouth Books.</w:t>
      </w:r>
      <w:bookmarkEnd w:id="19"/>
    </w:p>
    <w:p w14:paraId="120378A6"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0" w:name="_ENREF_20"/>
      <w:r w:rsidRPr="00EC612A">
        <w:rPr>
          <w:rFonts w:ascii="Book Antiqua" w:hAnsi="Book Antiqua"/>
          <w:noProof/>
          <w:sz w:val="24"/>
          <w:szCs w:val="24"/>
        </w:rPr>
        <w:t xml:space="preserve">Haslanger, S. (2000). Gender and race:(What) are they?(What) do we want them to be? </w:t>
      </w:r>
      <w:r w:rsidRPr="00EC612A">
        <w:rPr>
          <w:rFonts w:ascii="Book Antiqua" w:hAnsi="Book Antiqua"/>
          <w:i/>
          <w:noProof/>
          <w:sz w:val="24"/>
          <w:szCs w:val="24"/>
        </w:rPr>
        <w:t>Noûs, 34</w:t>
      </w:r>
      <w:r w:rsidRPr="00EC612A">
        <w:rPr>
          <w:rFonts w:ascii="Book Antiqua" w:hAnsi="Book Antiqua"/>
          <w:noProof/>
          <w:sz w:val="24"/>
          <w:szCs w:val="24"/>
        </w:rPr>
        <w:t xml:space="preserve">(1), 31-55. </w:t>
      </w:r>
      <w:bookmarkEnd w:id="20"/>
    </w:p>
    <w:p w14:paraId="2A38369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1" w:name="_ENREF_21"/>
      <w:r w:rsidRPr="00EC612A">
        <w:rPr>
          <w:rFonts w:ascii="Book Antiqua" w:hAnsi="Book Antiqua"/>
          <w:noProof/>
          <w:sz w:val="24"/>
          <w:szCs w:val="24"/>
        </w:rPr>
        <w:t xml:space="preserve">Haslanger, S. (2005). What are we talking about? The semantics and politics of social kinds. </w:t>
      </w:r>
      <w:r w:rsidRPr="00EC612A">
        <w:rPr>
          <w:rFonts w:ascii="Book Antiqua" w:hAnsi="Book Antiqua"/>
          <w:i/>
          <w:noProof/>
          <w:sz w:val="24"/>
          <w:szCs w:val="24"/>
        </w:rPr>
        <w:t>Hypatia, 20</w:t>
      </w:r>
      <w:r w:rsidRPr="00EC612A">
        <w:rPr>
          <w:rFonts w:ascii="Book Antiqua" w:hAnsi="Book Antiqua"/>
          <w:noProof/>
          <w:sz w:val="24"/>
          <w:szCs w:val="24"/>
        </w:rPr>
        <w:t xml:space="preserve">(4), 10-26. </w:t>
      </w:r>
      <w:bookmarkEnd w:id="21"/>
    </w:p>
    <w:p w14:paraId="499256B4"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2" w:name="_ENREF_22"/>
      <w:r w:rsidRPr="00EC612A">
        <w:rPr>
          <w:rFonts w:ascii="Book Antiqua" w:hAnsi="Book Antiqua"/>
          <w:noProof/>
          <w:sz w:val="24"/>
          <w:szCs w:val="24"/>
        </w:rPr>
        <w:t xml:space="preserve">Haslanger, S. (2007). " But mom, crop-tops are cute!" Social knowledge, social structure and ideology critique. </w:t>
      </w:r>
      <w:r w:rsidRPr="00EC612A">
        <w:rPr>
          <w:rFonts w:ascii="Book Antiqua" w:hAnsi="Book Antiqua"/>
          <w:i/>
          <w:noProof/>
          <w:sz w:val="24"/>
          <w:szCs w:val="24"/>
        </w:rPr>
        <w:t>Philosophical Issues, 17</w:t>
      </w:r>
      <w:r w:rsidRPr="00EC612A">
        <w:rPr>
          <w:rFonts w:ascii="Book Antiqua" w:hAnsi="Book Antiqua"/>
          <w:noProof/>
          <w:sz w:val="24"/>
          <w:szCs w:val="24"/>
        </w:rPr>
        <w:t xml:space="preserve">, 70-91. </w:t>
      </w:r>
      <w:bookmarkEnd w:id="22"/>
    </w:p>
    <w:p w14:paraId="0E15252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3" w:name="_ENREF_23"/>
      <w:r w:rsidRPr="00EC612A">
        <w:rPr>
          <w:rFonts w:ascii="Book Antiqua" w:hAnsi="Book Antiqua"/>
          <w:noProof/>
          <w:sz w:val="24"/>
          <w:szCs w:val="24"/>
        </w:rPr>
        <w:t xml:space="preserve">Haslanger, S. (2011). Ideology, generics, and common ground. In </w:t>
      </w:r>
      <w:r w:rsidRPr="00EC612A">
        <w:rPr>
          <w:rFonts w:ascii="Book Antiqua" w:hAnsi="Book Antiqua"/>
          <w:i/>
          <w:noProof/>
          <w:sz w:val="24"/>
          <w:szCs w:val="24"/>
        </w:rPr>
        <w:t>Feminist metaphysics</w:t>
      </w:r>
      <w:r w:rsidRPr="00EC612A">
        <w:rPr>
          <w:rFonts w:ascii="Book Antiqua" w:hAnsi="Book Antiqua"/>
          <w:noProof/>
          <w:sz w:val="24"/>
          <w:szCs w:val="24"/>
        </w:rPr>
        <w:t xml:space="preserve"> (pp. 179-207): Springer.</w:t>
      </w:r>
      <w:bookmarkEnd w:id="23"/>
    </w:p>
    <w:p w14:paraId="5C3F73B4"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4" w:name="_ENREF_24"/>
      <w:r w:rsidRPr="00EC612A">
        <w:rPr>
          <w:rFonts w:ascii="Book Antiqua" w:hAnsi="Book Antiqua"/>
          <w:noProof/>
          <w:sz w:val="24"/>
          <w:szCs w:val="24"/>
        </w:rPr>
        <w:t xml:space="preserve">Haslanger, S. (2012). </w:t>
      </w:r>
      <w:r w:rsidRPr="00EC612A">
        <w:rPr>
          <w:rFonts w:ascii="Book Antiqua" w:hAnsi="Book Antiqua"/>
          <w:i/>
          <w:noProof/>
          <w:sz w:val="24"/>
          <w:szCs w:val="24"/>
        </w:rPr>
        <w:t>Resisting reality: Social construction and social critique</w:t>
      </w:r>
      <w:r w:rsidRPr="00EC612A">
        <w:rPr>
          <w:rFonts w:ascii="Book Antiqua" w:hAnsi="Book Antiqua"/>
          <w:noProof/>
          <w:sz w:val="24"/>
          <w:szCs w:val="24"/>
        </w:rPr>
        <w:t>: Oxford University Press.</w:t>
      </w:r>
      <w:bookmarkEnd w:id="24"/>
    </w:p>
    <w:p w14:paraId="0946AA1E"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5" w:name="_ENREF_25"/>
      <w:r w:rsidRPr="00EC612A">
        <w:rPr>
          <w:rFonts w:ascii="Book Antiqua" w:hAnsi="Book Antiqua"/>
          <w:noProof/>
          <w:sz w:val="24"/>
          <w:szCs w:val="24"/>
        </w:rPr>
        <w:t xml:space="preserve">Haslanger, S. (2016). What is a (social) structural explanation? </w:t>
      </w:r>
      <w:r w:rsidRPr="00EC612A">
        <w:rPr>
          <w:rFonts w:ascii="Book Antiqua" w:hAnsi="Book Antiqua"/>
          <w:i/>
          <w:noProof/>
          <w:sz w:val="24"/>
          <w:szCs w:val="24"/>
        </w:rPr>
        <w:t>Philosophical Studies, 173</w:t>
      </w:r>
      <w:r w:rsidRPr="00EC612A">
        <w:rPr>
          <w:rFonts w:ascii="Book Antiqua" w:hAnsi="Book Antiqua"/>
          <w:noProof/>
          <w:sz w:val="24"/>
          <w:szCs w:val="24"/>
        </w:rPr>
        <w:t xml:space="preserve">(1), 113-130. </w:t>
      </w:r>
      <w:bookmarkEnd w:id="25"/>
    </w:p>
    <w:p w14:paraId="76F8FFAF"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6" w:name="_ENREF_26"/>
      <w:r w:rsidRPr="00EC612A">
        <w:rPr>
          <w:rFonts w:ascii="Book Antiqua" w:hAnsi="Book Antiqua"/>
          <w:noProof/>
          <w:sz w:val="24"/>
          <w:szCs w:val="24"/>
        </w:rPr>
        <w:t xml:space="preserve">Haslanger, S. (2017a). </w:t>
      </w:r>
      <w:r w:rsidRPr="00EC612A">
        <w:rPr>
          <w:rFonts w:ascii="Book Antiqua" w:hAnsi="Book Antiqua"/>
          <w:i/>
          <w:noProof/>
          <w:sz w:val="24"/>
          <w:szCs w:val="24"/>
        </w:rPr>
        <w:t>I—Culture and Critique.</w:t>
      </w:r>
      <w:r w:rsidRPr="00EC612A">
        <w:rPr>
          <w:rFonts w:ascii="Book Antiqua" w:hAnsi="Book Antiqua"/>
          <w:noProof/>
          <w:sz w:val="24"/>
          <w:szCs w:val="24"/>
        </w:rPr>
        <w:t xml:space="preserve"> Paper presented at the Aristotelian Society Supplementary Volume.</w:t>
      </w:r>
      <w:bookmarkEnd w:id="26"/>
    </w:p>
    <w:p w14:paraId="4975E505"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7" w:name="_ENREF_27"/>
      <w:r w:rsidRPr="00EC612A">
        <w:rPr>
          <w:rFonts w:ascii="Book Antiqua" w:hAnsi="Book Antiqua"/>
          <w:noProof/>
          <w:sz w:val="24"/>
          <w:szCs w:val="24"/>
        </w:rPr>
        <w:t xml:space="preserve">Haslanger, S. (2017b). Racism, ideology, and social movements. </w:t>
      </w:r>
      <w:r w:rsidRPr="00EC612A">
        <w:rPr>
          <w:rFonts w:ascii="Book Antiqua" w:hAnsi="Book Antiqua"/>
          <w:i/>
          <w:noProof/>
          <w:sz w:val="24"/>
          <w:szCs w:val="24"/>
        </w:rPr>
        <w:t>Res Philosophica, 94</w:t>
      </w:r>
      <w:r w:rsidRPr="00EC612A">
        <w:rPr>
          <w:rFonts w:ascii="Book Antiqua" w:hAnsi="Book Antiqua"/>
          <w:noProof/>
          <w:sz w:val="24"/>
          <w:szCs w:val="24"/>
        </w:rPr>
        <w:t xml:space="preserve">(1), 1-22. </w:t>
      </w:r>
      <w:bookmarkEnd w:id="27"/>
    </w:p>
    <w:p w14:paraId="4ADFC1D0"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8" w:name="_ENREF_28"/>
      <w:r w:rsidRPr="00EC612A">
        <w:rPr>
          <w:rFonts w:ascii="Book Antiqua" w:hAnsi="Book Antiqua"/>
          <w:noProof/>
          <w:sz w:val="24"/>
          <w:szCs w:val="24"/>
        </w:rPr>
        <w:t xml:space="preserve">Hetey, R., Monin, B., Maitreyi, A., &amp; Eberhardt, J. (2016). </w:t>
      </w:r>
      <w:r w:rsidRPr="00EC612A">
        <w:rPr>
          <w:rFonts w:ascii="Book Antiqua" w:hAnsi="Book Antiqua"/>
          <w:i/>
          <w:noProof/>
          <w:sz w:val="24"/>
          <w:szCs w:val="24"/>
        </w:rPr>
        <w:t>Data for change: A statistical analysis of police stops, searches, handcuffings, and arrests in oakland</w:t>
      </w:r>
      <w:r w:rsidRPr="00EC612A">
        <w:rPr>
          <w:rFonts w:ascii="Book Antiqua" w:hAnsi="Book Antiqua"/>
          <w:noProof/>
          <w:sz w:val="24"/>
          <w:szCs w:val="24"/>
        </w:rPr>
        <w:t xml:space="preserve">. Retrieved from </w:t>
      </w:r>
      <w:bookmarkEnd w:id="28"/>
    </w:p>
    <w:p w14:paraId="051B2FF8"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29" w:name="_ENREF_29"/>
      <w:r w:rsidRPr="00EC612A">
        <w:rPr>
          <w:rFonts w:ascii="Book Antiqua" w:hAnsi="Book Antiqua"/>
          <w:noProof/>
          <w:sz w:val="24"/>
          <w:szCs w:val="24"/>
        </w:rPr>
        <w:t xml:space="preserve">Horowitz, J., Brown, A., &amp; Cox, K. (2019). Race in America 2019. </w:t>
      </w:r>
      <w:r w:rsidRPr="00EC612A">
        <w:rPr>
          <w:rFonts w:ascii="Book Antiqua" w:hAnsi="Book Antiqua"/>
          <w:i/>
          <w:noProof/>
          <w:sz w:val="24"/>
          <w:szCs w:val="24"/>
        </w:rPr>
        <w:t>Pew Research Center, 9</w:t>
      </w:r>
      <w:r w:rsidRPr="00EC612A">
        <w:rPr>
          <w:rFonts w:ascii="Book Antiqua" w:hAnsi="Book Antiqua"/>
          <w:noProof/>
          <w:sz w:val="24"/>
          <w:szCs w:val="24"/>
        </w:rPr>
        <w:t xml:space="preserve">. </w:t>
      </w:r>
      <w:bookmarkEnd w:id="29"/>
    </w:p>
    <w:p w14:paraId="7F0BE3AE"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0" w:name="_ENREF_30"/>
      <w:r w:rsidRPr="00EC612A">
        <w:rPr>
          <w:rFonts w:ascii="Book Antiqua" w:hAnsi="Book Antiqua"/>
          <w:noProof/>
          <w:sz w:val="24"/>
          <w:szCs w:val="24"/>
        </w:rPr>
        <w:t xml:space="preserve">Horowitz, J. M., &amp; Livingston, G. (2016). How Americans view the Black Lives Matter movement. </w:t>
      </w:r>
      <w:r w:rsidRPr="00EC612A">
        <w:rPr>
          <w:rFonts w:ascii="Book Antiqua" w:hAnsi="Book Antiqua"/>
          <w:i/>
          <w:noProof/>
          <w:sz w:val="24"/>
          <w:szCs w:val="24"/>
        </w:rPr>
        <w:t>Pew Research Center, 8</w:t>
      </w:r>
      <w:r w:rsidRPr="00EC612A">
        <w:rPr>
          <w:rFonts w:ascii="Book Antiqua" w:hAnsi="Book Antiqua"/>
          <w:noProof/>
          <w:sz w:val="24"/>
          <w:szCs w:val="24"/>
        </w:rPr>
        <w:t xml:space="preserve">. </w:t>
      </w:r>
      <w:bookmarkEnd w:id="30"/>
    </w:p>
    <w:p w14:paraId="062A78F5"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1" w:name="_ENREF_31"/>
      <w:r w:rsidRPr="00EC612A">
        <w:rPr>
          <w:rFonts w:ascii="Book Antiqua" w:hAnsi="Book Antiqua"/>
          <w:noProof/>
          <w:sz w:val="24"/>
          <w:szCs w:val="24"/>
        </w:rPr>
        <w:t xml:space="preserve">Kraus, M. W., Rucker, J. M., &amp; Richeson, J. A. (2017). Americans misperceive racial economic equality. </w:t>
      </w:r>
      <w:r w:rsidRPr="00EC612A">
        <w:rPr>
          <w:rFonts w:ascii="Book Antiqua" w:hAnsi="Book Antiqua"/>
          <w:i/>
          <w:noProof/>
          <w:sz w:val="24"/>
          <w:szCs w:val="24"/>
        </w:rPr>
        <w:t>Proceedings of the National Academy of Sciences, 114</w:t>
      </w:r>
      <w:r w:rsidRPr="00EC612A">
        <w:rPr>
          <w:rFonts w:ascii="Book Antiqua" w:hAnsi="Book Antiqua"/>
          <w:noProof/>
          <w:sz w:val="24"/>
          <w:szCs w:val="24"/>
        </w:rPr>
        <w:t xml:space="preserve">(39), 10324-10331. </w:t>
      </w:r>
      <w:bookmarkEnd w:id="31"/>
    </w:p>
    <w:p w14:paraId="266F1477"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2" w:name="_ENREF_32"/>
      <w:r w:rsidRPr="00EC612A">
        <w:rPr>
          <w:rFonts w:ascii="Book Antiqua" w:hAnsi="Book Antiqua"/>
          <w:noProof/>
          <w:sz w:val="24"/>
          <w:szCs w:val="24"/>
        </w:rPr>
        <w:t xml:space="preserve">Lynch, K. (2016). Willful ignorance and self-deception. </w:t>
      </w:r>
      <w:r w:rsidRPr="00EC612A">
        <w:rPr>
          <w:rFonts w:ascii="Book Antiqua" w:hAnsi="Book Antiqua"/>
          <w:i/>
          <w:noProof/>
          <w:sz w:val="24"/>
          <w:szCs w:val="24"/>
        </w:rPr>
        <w:t>Philosophical Studies, 173</w:t>
      </w:r>
      <w:r w:rsidRPr="00EC612A">
        <w:rPr>
          <w:rFonts w:ascii="Book Antiqua" w:hAnsi="Book Antiqua"/>
          <w:noProof/>
          <w:sz w:val="24"/>
          <w:szCs w:val="24"/>
        </w:rPr>
        <w:t xml:space="preserve">(2), 505-523. </w:t>
      </w:r>
      <w:bookmarkEnd w:id="32"/>
    </w:p>
    <w:p w14:paraId="0E70DB5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3" w:name="_ENREF_33"/>
      <w:r w:rsidRPr="00EC612A">
        <w:rPr>
          <w:rFonts w:ascii="Book Antiqua" w:hAnsi="Book Antiqua"/>
          <w:noProof/>
          <w:sz w:val="24"/>
          <w:szCs w:val="24"/>
        </w:rPr>
        <w:t xml:space="preserve">Manne, K. (2017). </w:t>
      </w:r>
      <w:r w:rsidRPr="00EC612A">
        <w:rPr>
          <w:rFonts w:ascii="Book Antiqua" w:hAnsi="Book Antiqua"/>
          <w:i/>
          <w:noProof/>
          <w:sz w:val="24"/>
          <w:szCs w:val="24"/>
        </w:rPr>
        <w:t>Down girl: The logic of misogyny</w:t>
      </w:r>
      <w:r w:rsidRPr="00EC612A">
        <w:rPr>
          <w:rFonts w:ascii="Book Antiqua" w:hAnsi="Book Antiqua"/>
          <w:noProof/>
          <w:sz w:val="24"/>
          <w:szCs w:val="24"/>
        </w:rPr>
        <w:t>: Oxford University Press.</w:t>
      </w:r>
      <w:bookmarkEnd w:id="33"/>
    </w:p>
    <w:p w14:paraId="1A9A9436"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4" w:name="_ENREF_34"/>
      <w:r w:rsidRPr="00EC612A">
        <w:rPr>
          <w:rFonts w:ascii="Book Antiqua" w:hAnsi="Book Antiqua"/>
          <w:noProof/>
          <w:sz w:val="24"/>
          <w:szCs w:val="24"/>
        </w:rPr>
        <w:t xml:space="preserve">Medina, J. (2013). </w:t>
      </w:r>
      <w:r w:rsidRPr="00EC612A">
        <w:rPr>
          <w:rFonts w:ascii="Book Antiqua" w:hAnsi="Book Antiqua"/>
          <w:i/>
          <w:noProof/>
          <w:sz w:val="24"/>
          <w:szCs w:val="24"/>
        </w:rPr>
        <w:t>The epistemology of resistance: Gender and racial oppression, epistemic injustice, and the social imagination</w:t>
      </w:r>
      <w:r w:rsidRPr="00EC612A">
        <w:rPr>
          <w:rFonts w:ascii="Book Antiqua" w:hAnsi="Book Antiqua"/>
          <w:noProof/>
          <w:sz w:val="24"/>
          <w:szCs w:val="24"/>
        </w:rPr>
        <w:t>: Oxford University Press.</w:t>
      </w:r>
      <w:bookmarkEnd w:id="34"/>
    </w:p>
    <w:p w14:paraId="373490AB"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5" w:name="_ENREF_35"/>
      <w:r w:rsidRPr="00EC612A">
        <w:rPr>
          <w:rFonts w:ascii="Book Antiqua" w:hAnsi="Book Antiqua"/>
          <w:noProof/>
          <w:sz w:val="24"/>
          <w:szCs w:val="24"/>
        </w:rPr>
        <w:t xml:space="preserve">Mills, C. (2007). White ignorance. </w:t>
      </w:r>
      <w:r w:rsidRPr="00EC612A">
        <w:rPr>
          <w:rFonts w:ascii="Book Antiqua" w:hAnsi="Book Antiqua"/>
          <w:i/>
          <w:noProof/>
          <w:sz w:val="24"/>
          <w:szCs w:val="24"/>
        </w:rPr>
        <w:t>Race and epistemologies of ignorance, 247</w:t>
      </w:r>
      <w:r w:rsidRPr="00EC612A">
        <w:rPr>
          <w:rFonts w:ascii="Book Antiqua" w:hAnsi="Book Antiqua"/>
          <w:noProof/>
          <w:sz w:val="24"/>
          <w:szCs w:val="24"/>
        </w:rPr>
        <w:t xml:space="preserve">, 26-31. </w:t>
      </w:r>
      <w:bookmarkEnd w:id="35"/>
    </w:p>
    <w:p w14:paraId="769EBAA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6" w:name="_ENREF_36"/>
      <w:r w:rsidRPr="00EC612A">
        <w:rPr>
          <w:rFonts w:ascii="Book Antiqua" w:hAnsi="Book Antiqua"/>
          <w:noProof/>
          <w:sz w:val="24"/>
          <w:szCs w:val="24"/>
        </w:rPr>
        <w:t xml:space="preserve">Mills, C. W. (1999). </w:t>
      </w:r>
      <w:r w:rsidRPr="00EC612A">
        <w:rPr>
          <w:rFonts w:ascii="Book Antiqua" w:hAnsi="Book Antiqua"/>
          <w:i/>
          <w:noProof/>
          <w:sz w:val="24"/>
          <w:szCs w:val="24"/>
        </w:rPr>
        <w:t>The Racial Contract</w:t>
      </w:r>
      <w:r w:rsidRPr="00EC612A">
        <w:rPr>
          <w:rFonts w:ascii="Book Antiqua" w:hAnsi="Book Antiqua"/>
          <w:noProof/>
          <w:sz w:val="24"/>
          <w:szCs w:val="24"/>
        </w:rPr>
        <w:t>. Ithaca, UNITED STATES: Cornell University Press.</w:t>
      </w:r>
      <w:bookmarkEnd w:id="36"/>
    </w:p>
    <w:p w14:paraId="426C4E6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7" w:name="_ENREF_37"/>
      <w:r w:rsidRPr="00EC612A">
        <w:rPr>
          <w:rFonts w:ascii="Book Antiqua" w:hAnsi="Book Antiqua"/>
          <w:noProof/>
          <w:sz w:val="24"/>
          <w:szCs w:val="24"/>
        </w:rPr>
        <w:t xml:space="preserve">Mills, C. W. (2015). </w:t>
      </w:r>
      <w:r w:rsidRPr="00EC612A">
        <w:rPr>
          <w:rFonts w:ascii="Book Antiqua" w:hAnsi="Book Antiqua"/>
          <w:i/>
          <w:noProof/>
          <w:sz w:val="24"/>
          <w:szCs w:val="24"/>
        </w:rPr>
        <w:t>Global white ignorance</w:t>
      </w:r>
      <w:r w:rsidRPr="00EC612A">
        <w:rPr>
          <w:rFonts w:ascii="Book Antiqua" w:hAnsi="Book Antiqua"/>
          <w:noProof/>
          <w:sz w:val="24"/>
          <w:szCs w:val="24"/>
        </w:rPr>
        <w:t>: Routledge Abingdon.</w:t>
      </w:r>
      <w:bookmarkEnd w:id="37"/>
    </w:p>
    <w:p w14:paraId="50095B7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8" w:name="_ENREF_38"/>
      <w:r w:rsidRPr="00EC612A">
        <w:rPr>
          <w:rFonts w:ascii="Book Antiqua" w:hAnsi="Book Antiqua"/>
          <w:noProof/>
          <w:sz w:val="24"/>
          <w:szCs w:val="24"/>
        </w:rPr>
        <w:t xml:space="preserve">Moody-Adams, M. M. (1994). Culture, responsibility, and affected ignorance. </w:t>
      </w:r>
      <w:r w:rsidRPr="00EC612A">
        <w:rPr>
          <w:rFonts w:ascii="Book Antiqua" w:hAnsi="Book Antiqua"/>
          <w:i/>
          <w:noProof/>
          <w:sz w:val="24"/>
          <w:szCs w:val="24"/>
        </w:rPr>
        <w:t>Ethics, 104</w:t>
      </w:r>
      <w:r w:rsidRPr="00EC612A">
        <w:rPr>
          <w:rFonts w:ascii="Book Antiqua" w:hAnsi="Book Antiqua"/>
          <w:noProof/>
          <w:sz w:val="24"/>
          <w:szCs w:val="24"/>
        </w:rPr>
        <w:t xml:space="preserve">(2), 291-309. </w:t>
      </w:r>
      <w:bookmarkEnd w:id="38"/>
    </w:p>
    <w:p w14:paraId="120733C9"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39" w:name="_ENREF_39"/>
      <w:r w:rsidRPr="00EC612A">
        <w:rPr>
          <w:rFonts w:ascii="Book Antiqua" w:hAnsi="Book Antiqua"/>
          <w:noProof/>
          <w:sz w:val="24"/>
          <w:szCs w:val="24"/>
        </w:rPr>
        <w:t xml:space="preserve">Need, A. C., &amp; Goldstein, D. B. (2009). Next generation disparities in human genomics: concerns and remedies. </w:t>
      </w:r>
      <w:r w:rsidRPr="00EC612A">
        <w:rPr>
          <w:rFonts w:ascii="Book Antiqua" w:hAnsi="Book Antiqua"/>
          <w:i/>
          <w:noProof/>
          <w:sz w:val="24"/>
          <w:szCs w:val="24"/>
        </w:rPr>
        <w:t>Trends in Genetics, 25</w:t>
      </w:r>
      <w:r w:rsidRPr="00EC612A">
        <w:rPr>
          <w:rFonts w:ascii="Book Antiqua" w:hAnsi="Book Antiqua"/>
          <w:noProof/>
          <w:sz w:val="24"/>
          <w:szCs w:val="24"/>
        </w:rPr>
        <w:t xml:space="preserve">(11), 489-494. </w:t>
      </w:r>
      <w:bookmarkEnd w:id="39"/>
    </w:p>
    <w:p w14:paraId="395A5F0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0" w:name="_ENREF_40"/>
      <w:r w:rsidRPr="00EC612A">
        <w:rPr>
          <w:rFonts w:ascii="Book Antiqua" w:hAnsi="Book Antiqua"/>
          <w:noProof/>
          <w:sz w:val="24"/>
          <w:szCs w:val="24"/>
        </w:rPr>
        <w:t xml:space="preserve">Outlaw, L. T. (2007). Social ordering and the systematic production of ignorance. </w:t>
      </w:r>
      <w:r w:rsidRPr="00EC612A">
        <w:rPr>
          <w:rFonts w:ascii="Book Antiqua" w:hAnsi="Book Antiqua"/>
          <w:i/>
          <w:noProof/>
          <w:sz w:val="24"/>
          <w:szCs w:val="24"/>
        </w:rPr>
        <w:t>Race and epistemologies of ignorance</w:t>
      </w:r>
      <w:r w:rsidRPr="00EC612A">
        <w:rPr>
          <w:rFonts w:ascii="Book Antiqua" w:hAnsi="Book Antiqua"/>
          <w:noProof/>
          <w:sz w:val="24"/>
          <w:szCs w:val="24"/>
        </w:rPr>
        <w:t xml:space="preserve">, 197-211. </w:t>
      </w:r>
      <w:bookmarkEnd w:id="40"/>
    </w:p>
    <w:p w14:paraId="5AFCE53D"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1" w:name="_ENREF_41"/>
      <w:r w:rsidRPr="00EC612A">
        <w:rPr>
          <w:rFonts w:ascii="Book Antiqua" w:hAnsi="Book Antiqua"/>
          <w:noProof/>
          <w:sz w:val="24"/>
          <w:szCs w:val="24"/>
        </w:rPr>
        <w:t xml:space="preserve">Pohlhaus Jr, G. (2012). Relational knowing and epistemic injustice: Toward a theory of willful hermeneutical ignorance. </w:t>
      </w:r>
      <w:r w:rsidRPr="00EC612A">
        <w:rPr>
          <w:rFonts w:ascii="Book Antiqua" w:hAnsi="Book Antiqua"/>
          <w:i/>
          <w:noProof/>
          <w:sz w:val="24"/>
          <w:szCs w:val="24"/>
        </w:rPr>
        <w:t>Hypatia, 27</w:t>
      </w:r>
      <w:r w:rsidRPr="00EC612A">
        <w:rPr>
          <w:rFonts w:ascii="Book Antiqua" w:hAnsi="Book Antiqua"/>
          <w:noProof/>
          <w:sz w:val="24"/>
          <w:szCs w:val="24"/>
        </w:rPr>
        <w:t xml:space="preserve">(4), 715-735. </w:t>
      </w:r>
      <w:bookmarkEnd w:id="41"/>
    </w:p>
    <w:p w14:paraId="32F33080"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2" w:name="_ENREF_42"/>
      <w:r w:rsidRPr="00EC612A">
        <w:rPr>
          <w:rFonts w:ascii="Book Antiqua" w:hAnsi="Book Antiqua"/>
          <w:noProof/>
          <w:sz w:val="24"/>
          <w:szCs w:val="24"/>
        </w:rPr>
        <w:t xml:space="preserve">Popejoy, A. B., &amp; Fullerton, S. M. (2016). Genomics is failing on diversity. </w:t>
      </w:r>
      <w:r w:rsidRPr="00EC612A">
        <w:rPr>
          <w:rFonts w:ascii="Book Antiqua" w:hAnsi="Book Antiqua"/>
          <w:i/>
          <w:noProof/>
          <w:sz w:val="24"/>
          <w:szCs w:val="24"/>
        </w:rPr>
        <w:t>Nature News, 538</w:t>
      </w:r>
      <w:r w:rsidRPr="00EC612A">
        <w:rPr>
          <w:rFonts w:ascii="Book Antiqua" w:hAnsi="Book Antiqua"/>
          <w:noProof/>
          <w:sz w:val="24"/>
          <w:szCs w:val="24"/>
        </w:rPr>
        <w:t xml:space="preserve">(7624), 161. </w:t>
      </w:r>
      <w:bookmarkEnd w:id="42"/>
    </w:p>
    <w:p w14:paraId="36986216"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3" w:name="_ENREF_43"/>
      <w:r w:rsidRPr="00EC612A">
        <w:rPr>
          <w:rFonts w:ascii="Book Antiqua" w:hAnsi="Book Antiqua"/>
          <w:noProof/>
          <w:sz w:val="24"/>
          <w:szCs w:val="24"/>
        </w:rPr>
        <w:t>Public Law 82-414, United States Statutes at Large, Pub. L. No. 82-414, 66 Stat. 163 (1952).</w:t>
      </w:r>
      <w:bookmarkEnd w:id="43"/>
    </w:p>
    <w:p w14:paraId="0EF7B9B1"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4" w:name="_ENREF_44"/>
      <w:r w:rsidRPr="00EC612A">
        <w:rPr>
          <w:rFonts w:ascii="Book Antiqua" w:hAnsi="Book Antiqua"/>
          <w:noProof/>
          <w:sz w:val="24"/>
          <w:szCs w:val="24"/>
        </w:rPr>
        <w:t xml:space="preserve">Rosen, G. (2008). Kleinbart the oblivious and other tales of ignorance and responsibility. </w:t>
      </w:r>
      <w:r w:rsidRPr="00EC612A">
        <w:rPr>
          <w:rFonts w:ascii="Book Antiqua" w:hAnsi="Book Antiqua"/>
          <w:i/>
          <w:noProof/>
          <w:sz w:val="24"/>
          <w:szCs w:val="24"/>
        </w:rPr>
        <w:t>The Journal of Philosophy, 105</w:t>
      </w:r>
      <w:r w:rsidRPr="00EC612A">
        <w:rPr>
          <w:rFonts w:ascii="Book Antiqua" w:hAnsi="Book Antiqua"/>
          <w:noProof/>
          <w:sz w:val="24"/>
          <w:szCs w:val="24"/>
        </w:rPr>
        <w:t xml:space="preserve">(10), 591-610. </w:t>
      </w:r>
      <w:bookmarkEnd w:id="44"/>
    </w:p>
    <w:p w14:paraId="509B6AA8"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5" w:name="_ENREF_45"/>
      <w:r w:rsidRPr="00EC612A">
        <w:rPr>
          <w:rFonts w:ascii="Book Antiqua" w:hAnsi="Book Antiqua"/>
          <w:noProof/>
          <w:sz w:val="24"/>
          <w:szCs w:val="24"/>
        </w:rPr>
        <w:t xml:space="preserve">Rothstein, R. (2017). </w:t>
      </w:r>
      <w:r w:rsidRPr="00EC612A">
        <w:rPr>
          <w:rFonts w:ascii="Book Antiqua" w:hAnsi="Book Antiqua"/>
          <w:i/>
          <w:noProof/>
          <w:sz w:val="24"/>
          <w:szCs w:val="24"/>
        </w:rPr>
        <w:t>The color of law: A forgotten history of how our government segregated America</w:t>
      </w:r>
      <w:r w:rsidRPr="00EC612A">
        <w:rPr>
          <w:rFonts w:ascii="Book Antiqua" w:hAnsi="Book Antiqua"/>
          <w:noProof/>
          <w:sz w:val="24"/>
          <w:szCs w:val="24"/>
        </w:rPr>
        <w:t>: Liveright Publishing.</w:t>
      </w:r>
      <w:bookmarkEnd w:id="45"/>
    </w:p>
    <w:p w14:paraId="75578113"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6" w:name="_ENREF_46"/>
      <w:r w:rsidRPr="00EC612A">
        <w:rPr>
          <w:rFonts w:ascii="Book Antiqua" w:hAnsi="Book Antiqua"/>
          <w:noProof/>
          <w:sz w:val="24"/>
          <w:szCs w:val="24"/>
        </w:rPr>
        <w:t xml:space="preserve">Shelby, T. (2016). </w:t>
      </w:r>
      <w:r w:rsidRPr="00EC612A">
        <w:rPr>
          <w:rFonts w:ascii="Book Antiqua" w:hAnsi="Book Antiqua"/>
          <w:i/>
          <w:noProof/>
          <w:sz w:val="24"/>
          <w:szCs w:val="24"/>
        </w:rPr>
        <w:t>Dark ghettos: Injustice, dissent, and reform</w:t>
      </w:r>
      <w:r w:rsidRPr="00EC612A">
        <w:rPr>
          <w:rFonts w:ascii="Book Antiqua" w:hAnsi="Book Antiqua"/>
          <w:noProof/>
          <w:sz w:val="24"/>
          <w:szCs w:val="24"/>
        </w:rPr>
        <w:t>: Harvard University Press.</w:t>
      </w:r>
      <w:bookmarkEnd w:id="46"/>
    </w:p>
    <w:p w14:paraId="38FFB22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7" w:name="_ENREF_47"/>
      <w:r w:rsidRPr="00EC612A">
        <w:rPr>
          <w:rFonts w:ascii="Book Antiqua" w:hAnsi="Book Antiqua"/>
          <w:noProof/>
          <w:sz w:val="24"/>
          <w:szCs w:val="24"/>
        </w:rPr>
        <w:t xml:space="preserve">Skloot, R. (2013). The immortal life of Henrietta Lacks, the sequel. </w:t>
      </w:r>
      <w:r w:rsidRPr="00EC612A">
        <w:rPr>
          <w:rFonts w:ascii="Book Antiqua" w:hAnsi="Book Antiqua"/>
          <w:i/>
          <w:noProof/>
          <w:sz w:val="24"/>
          <w:szCs w:val="24"/>
        </w:rPr>
        <w:t>New York Times, 23</w:t>
      </w:r>
      <w:r w:rsidRPr="00EC612A">
        <w:rPr>
          <w:rFonts w:ascii="Book Antiqua" w:hAnsi="Book Antiqua"/>
          <w:noProof/>
          <w:sz w:val="24"/>
          <w:szCs w:val="24"/>
        </w:rPr>
        <w:t xml:space="preserve">. </w:t>
      </w:r>
      <w:bookmarkEnd w:id="47"/>
    </w:p>
    <w:p w14:paraId="4461A27C"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8" w:name="_ENREF_48"/>
      <w:r w:rsidRPr="00EC612A">
        <w:rPr>
          <w:rFonts w:ascii="Book Antiqua" w:hAnsi="Book Antiqua"/>
          <w:noProof/>
          <w:sz w:val="24"/>
          <w:szCs w:val="24"/>
        </w:rPr>
        <w:t xml:space="preserve">Smith, H. (1983). Culpable ignorance. </w:t>
      </w:r>
      <w:r w:rsidRPr="00EC612A">
        <w:rPr>
          <w:rFonts w:ascii="Book Antiqua" w:hAnsi="Book Antiqua"/>
          <w:i/>
          <w:noProof/>
          <w:sz w:val="24"/>
          <w:szCs w:val="24"/>
        </w:rPr>
        <w:t>The Philosophical Review, 92</w:t>
      </w:r>
      <w:r w:rsidRPr="00EC612A">
        <w:rPr>
          <w:rFonts w:ascii="Book Antiqua" w:hAnsi="Book Antiqua"/>
          <w:noProof/>
          <w:sz w:val="24"/>
          <w:szCs w:val="24"/>
        </w:rPr>
        <w:t xml:space="preserve">(4), 543-571. </w:t>
      </w:r>
      <w:bookmarkEnd w:id="48"/>
    </w:p>
    <w:p w14:paraId="70A34A9B"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49" w:name="_ENREF_49"/>
      <w:r w:rsidRPr="00EC612A">
        <w:rPr>
          <w:rFonts w:ascii="Book Antiqua" w:hAnsi="Book Antiqua"/>
          <w:noProof/>
          <w:sz w:val="24"/>
          <w:szCs w:val="24"/>
        </w:rPr>
        <w:t xml:space="preserve">Smith, H. (2016). Tracing Cases of Culpable Ignorance. In R. Peels (Ed.), </w:t>
      </w:r>
      <w:r w:rsidRPr="00EC612A">
        <w:rPr>
          <w:rFonts w:ascii="Book Antiqua" w:hAnsi="Book Antiqua"/>
          <w:i/>
          <w:noProof/>
          <w:sz w:val="24"/>
          <w:szCs w:val="24"/>
        </w:rPr>
        <w:t>Perspectives on Ignorance from Moral and Social Philosophy</w:t>
      </w:r>
      <w:r w:rsidRPr="00EC612A">
        <w:rPr>
          <w:rFonts w:ascii="Book Antiqua" w:hAnsi="Book Antiqua"/>
          <w:noProof/>
          <w:sz w:val="24"/>
          <w:szCs w:val="24"/>
        </w:rPr>
        <w:t xml:space="preserve"> (pp. 95-119): Routledge.</w:t>
      </w:r>
      <w:bookmarkEnd w:id="49"/>
    </w:p>
    <w:p w14:paraId="43721B2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0" w:name="_ENREF_50"/>
      <w:r w:rsidRPr="00EC612A">
        <w:rPr>
          <w:rFonts w:ascii="Book Antiqua" w:hAnsi="Book Antiqua"/>
          <w:noProof/>
          <w:sz w:val="24"/>
          <w:szCs w:val="24"/>
        </w:rPr>
        <w:t xml:space="preserve">Spelman, E. (2007). Managing ignorance. </w:t>
      </w:r>
      <w:r w:rsidRPr="00EC612A">
        <w:rPr>
          <w:rFonts w:ascii="Book Antiqua" w:hAnsi="Book Antiqua"/>
          <w:i/>
          <w:noProof/>
          <w:sz w:val="24"/>
          <w:szCs w:val="24"/>
        </w:rPr>
        <w:t>Race and epistemologies of ignorance</w:t>
      </w:r>
      <w:r w:rsidRPr="00EC612A">
        <w:rPr>
          <w:rFonts w:ascii="Book Antiqua" w:hAnsi="Book Antiqua"/>
          <w:noProof/>
          <w:sz w:val="24"/>
          <w:szCs w:val="24"/>
        </w:rPr>
        <w:t xml:space="preserve">, 119-131. </w:t>
      </w:r>
      <w:bookmarkEnd w:id="50"/>
    </w:p>
    <w:p w14:paraId="0B88E1AB"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1" w:name="_ENREF_51"/>
      <w:r w:rsidRPr="00EC612A">
        <w:rPr>
          <w:rFonts w:ascii="Book Antiqua" w:hAnsi="Book Antiqua"/>
          <w:noProof/>
          <w:sz w:val="24"/>
          <w:szCs w:val="24"/>
        </w:rPr>
        <w:t xml:space="preserve">Starr, S. B., &amp; Rehavi, M. M. (2013). Mandatory sentencing and racial disparity: Assessing the role of prosecutors and the effects of Booker. </w:t>
      </w:r>
      <w:r w:rsidRPr="00EC612A">
        <w:rPr>
          <w:rFonts w:ascii="Book Antiqua" w:hAnsi="Book Antiqua"/>
          <w:i/>
          <w:noProof/>
          <w:sz w:val="24"/>
          <w:szCs w:val="24"/>
        </w:rPr>
        <w:t>Yale LJ, 123</w:t>
      </w:r>
      <w:r w:rsidRPr="00EC612A">
        <w:rPr>
          <w:rFonts w:ascii="Book Antiqua" w:hAnsi="Book Antiqua"/>
          <w:noProof/>
          <w:sz w:val="24"/>
          <w:szCs w:val="24"/>
        </w:rPr>
        <w:t xml:space="preserve">, 2. </w:t>
      </w:r>
      <w:bookmarkEnd w:id="51"/>
    </w:p>
    <w:p w14:paraId="1D46149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2" w:name="_ENREF_52"/>
      <w:r w:rsidRPr="00EC612A">
        <w:rPr>
          <w:rFonts w:ascii="Book Antiqua" w:hAnsi="Book Antiqua"/>
          <w:noProof/>
          <w:sz w:val="24"/>
          <w:szCs w:val="24"/>
        </w:rPr>
        <w:t xml:space="preserve">Toole, B. (2019). From Standpoint Epistemology to Epistemic Oppression. </w:t>
      </w:r>
      <w:r w:rsidRPr="00EC612A">
        <w:rPr>
          <w:rFonts w:ascii="Book Antiqua" w:hAnsi="Book Antiqua"/>
          <w:i/>
          <w:noProof/>
          <w:sz w:val="24"/>
          <w:szCs w:val="24"/>
        </w:rPr>
        <w:t>Hypatia, 34</w:t>
      </w:r>
      <w:r w:rsidRPr="00EC612A">
        <w:rPr>
          <w:rFonts w:ascii="Book Antiqua" w:hAnsi="Book Antiqua"/>
          <w:noProof/>
          <w:sz w:val="24"/>
          <w:szCs w:val="24"/>
        </w:rPr>
        <w:t xml:space="preserve">(4), 598-618. </w:t>
      </w:r>
      <w:bookmarkEnd w:id="52"/>
    </w:p>
    <w:p w14:paraId="248FE867"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3" w:name="_ENREF_53"/>
      <w:r w:rsidRPr="00EC612A">
        <w:rPr>
          <w:rFonts w:ascii="Book Antiqua" w:hAnsi="Book Antiqua"/>
          <w:noProof/>
          <w:sz w:val="24"/>
          <w:szCs w:val="24"/>
        </w:rPr>
        <w:t xml:space="preserve">Wieland, J. W. (2017). Willful ignorance. </w:t>
      </w:r>
      <w:r w:rsidRPr="00EC612A">
        <w:rPr>
          <w:rFonts w:ascii="Book Antiqua" w:hAnsi="Book Antiqua"/>
          <w:i/>
          <w:noProof/>
          <w:sz w:val="24"/>
          <w:szCs w:val="24"/>
        </w:rPr>
        <w:t>Ethical Theory and Moral Practice, 20</w:t>
      </w:r>
      <w:r w:rsidRPr="00EC612A">
        <w:rPr>
          <w:rFonts w:ascii="Book Antiqua" w:hAnsi="Book Antiqua"/>
          <w:noProof/>
          <w:sz w:val="24"/>
          <w:szCs w:val="24"/>
        </w:rPr>
        <w:t xml:space="preserve">(1), 105-119. </w:t>
      </w:r>
      <w:bookmarkEnd w:id="53"/>
    </w:p>
    <w:p w14:paraId="3FD37635"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4" w:name="_ENREF_54"/>
      <w:r w:rsidRPr="00EC612A">
        <w:rPr>
          <w:rFonts w:ascii="Book Antiqua" w:hAnsi="Book Antiqua"/>
          <w:noProof/>
          <w:sz w:val="24"/>
          <w:szCs w:val="24"/>
        </w:rPr>
        <w:t xml:space="preserve">Woomer, L. (2019). Agential Insensitivity and Socially Supported Ignorance. </w:t>
      </w:r>
      <w:r w:rsidRPr="00EC612A">
        <w:rPr>
          <w:rFonts w:ascii="Book Antiqua" w:hAnsi="Book Antiqua"/>
          <w:i/>
          <w:noProof/>
          <w:sz w:val="24"/>
          <w:szCs w:val="24"/>
        </w:rPr>
        <w:t>Episteme, 16</w:t>
      </w:r>
      <w:r w:rsidRPr="00EC612A">
        <w:rPr>
          <w:rFonts w:ascii="Book Antiqua" w:hAnsi="Book Antiqua"/>
          <w:noProof/>
          <w:sz w:val="24"/>
          <w:szCs w:val="24"/>
        </w:rPr>
        <w:t xml:space="preserve">(1), 73-91. </w:t>
      </w:r>
      <w:bookmarkEnd w:id="54"/>
    </w:p>
    <w:p w14:paraId="2E6AB156"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5" w:name="_ENREF_55"/>
      <w:r w:rsidRPr="00EC612A">
        <w:rPr>
          <w:rFonts w:ascii="Book Antiqua" w:hAnsi="Book Antiqua"/>
          <w:noProof/>
          <w:sz w:val="24"/>
          <w:szCs w:val="24"/>
        </w:rPr>
        <w:t xml:space="preserve">Young, I. M. (2006). Responsibility and global justice: A social connection model. </w:t>
      </w:r>
      <w:r w:rsidRPr="00EC612A">
        <w:rPr>
          <w:rFonts w:ascii="Book Antiqua" w:hAnsi="Book Antiqua"/>
          <w:i/>
          <w:noProof/>
          <w:sz w:val="24"/>
          <w:szCs w:val="24"/>
        </w:rPr>
        <w:t>Social philosophy and policy, 23</w:t>
      </w:r>
      <w:r w:rsidRPr="00EC612A">
        <w:rPr>
          <w:rFonts w:ascii="Book Antiqua" w:hAnsi="Book Antiqua"/>
          <w:noProof/>
          <w:sz w:val="24"/>
          <w:szCs w:val="24"/>
        </w:rPr>
        <w:t xml:space="preserve">(1), 102-130. </w:t>
      </w:r>
      <w:bookmarkEnd w:id="55"/>
    </w:p>
    <w:p w14:paraId="4E22012A"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6" w:name="_ENREF_56"/>
      <w:r w:rsidRPr="00EC612A">
        <w:rPr>
          <w:rFonts w:ascii="Book Antiqua" w:hAnsi="Book Antiqua"/>
          <w:noProof/>
          <w:sz w:val="24"/>
          <w:szCs w:val="24"/>
        </w:rPr>
        <w:t xml:space="preserve">Zheng, R. (2018a). Bias, structure, and injustice: a reply to Haslanger. </w:t>
      </w:r>
      <w:r w:rsidRPr="00EC612A">
        <w:rPr>
          <w:rFonts w:ascii="Book Antiqua" w:hAnsi="Book Antiqua"/>
          <w:i/>
          <w:noProof/>
          <w:sz w:val="24"/>
          <w:szCs w:val="24"/>
        </w:rPr>
        <w:t>Feminist Philosophy Quarterly, 4</w:t>
      </w:r>
      <w:r w:rsidRPr="00EC612A">
        <w:rPr>
          <w:rFonts w:ascii="Book Antiqua" w:hAnsi="Book Antiqua"/>
          <w:noProof/>
          <w:sz w:val="24"/>
          <w:szCs w:val="24"/>
        </w:rPr>
        <w:t xml:space="preserve">(1). </w:t>
      </w:r>
      <w:bookmarkEnd w:id="56"/>
    </w:p>
    <w:p w14:paraId="099388B2" w14:textId="77777777" w:rsidR="005F7717" w:rsidRPr="00EC612A" w:rsidRDefault="005F7717" w:rsidP="007D5F22">
      <w:pPr>
        <w:pStyle w:val="EndNoteBibliography"/>
        <w:spacing w:line="276" w:lineRule="auto"/>
        <w:ind w:left="720" w:hanging="720"/>
        <w:rPr>
          <w:rFonts w:ascii="Book Antiqua" w:hAnsi="Book Antiqua"/>
          <w:noProof/>
          <w:sz w:val="24"/>
          <w:szCs w:val="24"/>
        </w:rPr>
      </w:pPr>
      <w:bookmarkStart w:id="57" w:name="_ENREF_57"/>
      <w:r w:rsidRPr="00EC612A">
        <w:rPr>
          <w:rFonts w:ascii="Book Antiqua" w:hAnsi="Book Antiqua"/>
          <w:noProof/>
          <w:sz w:val="24"/>
          <w:szCs w:val="24"/>
        </w:rPr>
        <w:t xml:space="preserve">Zheng, R. (2018b). What is My Role in Changing the System? A New Model of Responsibility for Structural Injustice. </w:t>
      </w:r>
      <w:r w:rsidRPr="00EC612A">
        <w:rPr>
          <w:rFonts w:ascii="Book Antiqua" w:hAnsi="Book Antiqua"/>
          <w:i/>
          <w:noProof/>
          <w:sz w:val="24"/>
          <w:szCs w:val="24"/>
        </w:rPr>
        <w:t>Ethical Theory and Moral Practice, 21</w:t>
      </w:r>
      <w:r w:rsidRPr="00EC612A">
        <w:rPr>
          <w:rFonts w:ascii="Book Antiqua" w:hAnsi="Book Antiqua"/>
          <w:noProof/>
          <w:sz w:val="24"/>
          <w:szCs w:val="24"/>
        </w:rPr>
        <w:t xml:space="preserve">(4), 869-885. </w:t>
      </w:r>
      <w:bookmarkEnd w:id="57"/>
    </w:p>
    <w:p w14:paraId="7BEFBF5F" w14:textId="1106BDEC" w:rsidR="00D567D5" w:rsidRPr="00EC612A" w:rsidRDefault="005F7717" w:rsidP="007D5F22">
      <w:pPr>
        <w:pStyle w:val="Heading1"/>
        <w:spacing w:line="276" w:lineRule="auto"/>
        <w:rPr>
          <w:rFonts w:ascii="Book Antiqua" w:hAnsi="Book Antiqua" w:cs="TimesNewRomanPSMT"/>
          <w:kern w:val="1"/>
          <w:szCs w:val="24"/>
        </w:rPr>
      </w:pPr>
      <w:r w:rsidRPr="00EC612A">
        <w:rPr>
          <w:rFonts w:ascii="Book Antiqua" w:hAnsi="Book Antiqua" w:cs="TimesNewRomanPSMT"/>
          <w:kern w:val="1"/>
          <w:sz w:val="24"/>
          <w:szCs w:val="24"/>
        </w:rPr>
        <w:fldChar w:fldCharType="end"/>
      </w:r>
    </w:p>
    <w:sectPr w:rsidR="00D567D5" w:rsidRPr="00EC612A" w:rsidSect="00EC612A">
      <w:headerReference w:type="default" r:id="rId7"/>
      <w:footerReference w:type="default" r:id="rId8"/>
      <w:footerReference w:type="firs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6A7B" w14:textId="77777777" w:rsidR="00EC612A" w:rsidRDefault="00EC612A">
      <w:r>
        <w:separator/>
      </w:r>
    </w:p>
  </w:endnote>
  <w:endnote w:type="continuationSeparator" w:id="0">
    <w:p w14:paraId="539AEF43" w14:textId="77777777" w:rsidR="00EC612A" w:rsidRDefault="00EC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roman"/>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merican Typewriter">
    <w:panose1 w:val="02090604020004020304"/>
    <w:charset w:val="00"/>
    <w:family w:val="auto"/>
    <w:pitch w:val="variable"/>
    <w:sig w:usb0="A000006F" w:usb1="00000019" w:usb2="00000000" w:usb3="00000000" w:csb0="0000011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4EA6" w14:textId="697E0C20" w:rsidR="00EC612A" w:rsidRPr="00EC612A" w:rsidRDefault="00EC612A">
    <w:pPr>
      <w:jc w:val="center"/>
      <w:rPr>
        <w:rFonts w:ascii="Book Antiqua" w:hAnsi="Book Antiqua" w:cs="TimesNewRomanPSMT"/>
        <w:sz w:val="22"/>
        <w:szCs w:val="22"/>
      </w:rPr>
    </w:pPr>
    <w:r w:rsidRPr="00EC612A">
      <w:rPr>
        <w:rStyle w:val="PageNumber"/>
        <w:rFonts w:ascii="Book Antiqua" w:hAnsi="Book Antiqua"/>
        <w:sz w:val="22"/>
        <w:szCs w:val="22"/>
      </w:rPr>
      <w:fldChar w:fldCharType="begin"/>
    </w:r>
    <w:r w:rsidRPr="00EC612A">
      <w:rPr>
        <w:rStyle w:val="PageNumber"/>
        <w:rFonts w:ascii="Book Antiqua" w:hAnsi="Book Antiqua"/>
        <w:sz w:val="22"/>
        <w:szCs w:val="22"/>
      </w:rPr>
      <w:instrText xml:space="preserve"> PAGE </w:instrText>
    </w:r>
    <w:r w:rsidRPr="00EC612A">
      <w:rPr>
        <w:rStyle w:val="PageNumber"/>
        <w:rFonts w:ascii="Book Antiqua" w:hAnsi="Book Antiqua"/>
        <w:sz w:val="22"/>
        <w:szCs w:val="22"/>
      </w:rPr>
      <w:fldChar w:fldCharType="separate"/>
    </w:r>
    <w:r w:rsidR="00AF0FC3">
      <w:rPr>
        <w:rStyle w:val="PageNumber"/>
        <w:rFonts w:ascii="Book Antiqua" w:hAnsi="Book Antiqua"/>
        <w:noProof/>
        <w:sz w:val="22"/>
        <w:szCs w:val="22"/>
      </w:rPr>
      <w:t>6</w:t>
    </w:r>
    <w:r w:rsidRPr="00EC612A">
      <w:rPr>
        <w:rStyle w:val="PageNumber"/>
        <w:rFonts w:ascii="Book Antiqua" w:hAnsi="Book Antiqua"/>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B570" w14:textId="77777777" w:rsidR="00EC612A" w:rsidRPr="004C57BD" w:rsidRDefault="00EC612A" w:rsidP="004C57BD">
    <w:pPr>
      <w:pStyle w:val="Footer"/>
      <w:framePr w:wrap="around" w:vAnchor="text" w:hAnchor="margin" w:xAlign="center" w:y="1"/>
      <w:rPr>
        <w:rStyle w:val="PageNumber"/>
        <w:rFonts w:ascii="Palatino" w:hAnsi="Palatino"/>
        <w:sz w:val="22"/>
        <w:szCs w:val="22"/>
      </w:rPr>
    </w:pPr>
    <w:r w:rsidRPr="004C57BD">
      <w:rPr>
        <w:rStyle w:val="PageNumber"/>
        <w:rFonts w:ascii="Palatino" w:hAnsi="Palatino"/>
        <w:sz w:val="22"/>
        <w:szCs w:val="22"/>
      </w:rPr>
      <w:fldChar w:fldCharType="begin"/>
    </w:r>
    <w:r w:rsidRPr="004C57BD">
      <w:rPr>
        <w:rStyle w:val="PageNumber"/>
        <w:rFonts w:ascii="Palatino" w:hAnsi="Palatino"/>
        <w:sz w:val="22"/>
        <w:szCs w:val="22"/>
      </w:rPr>
      <w:instrText xml:space="preserve">PAGE  </w:instrText>
    </w:r>
    <w:r w:rsidRPr="004C57BD">
      <w:rPr>
        <w:rStyle w:val="PageNumber"/>
        <w:rFonts w:ascii="Palatino" w:hAnsi="Palatino"/>
        <w:sz w:val="22"/>
        <w:szCs w:val="22"/>
      </w:rPr>
      <w:fldChar w:fldCharType="separate"/>
    </w:r>
    <w:r>
      <w:rPr>
        <w:rStyle w:val="PageNumber"/>
        <w:rFonts w:ascii="Palatino" w:hAnsi="Palatino"/>
        <w:noProof/>
        <w:sz w:val="22"/>
        <w:szCs w:val="22"/>
      </w:rPr>
      <w:t>1</w:t>
    </w:r>
    <w:r w:rsidRPr="004C57BD">
      <w:rPr>
        <w:rStyle w:val="PageNumber"/>
        <w:rFonts w:ascii="Palatino" w:hAnsi="Palatino"/>
        <w:sz w:val="22"/>
        <w:szCs w:val="22"/>
      </w:rPr>
      <w:fldChar w:fldCharType="end"/>
    </w:r>
  </w:p>
  <w:p w14:paraId="1C8EA54E" w14:textId="77777777" w:rsidR="00EC612A" w:rsidRDefault="00EC61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8DE2" w14:textId="77777777" w:rsidR="00EC612A" w:rsidRDefault="00EC612A">
      <w:r>
        <w:separator/>
      </w:r>
    </w:p>
  </w:footnote>
  <w:footnote w:type="continuationSeparator" w:id="0">
    <w:p w14:paraId="3A067C73" w14:textId="77777777" w:rsidR="00EC612A" w:rsidRDefault="00EC612A">
      <w:r>
        <w:continuationSeparator/>
      </w:r>
    </w:p>
  </w:footnote>
  <w:footnote w:id="1">
    <w:p w14:paraId="613EE615" w14:textId="77777777" w:rsidR="00EC612A" w:rsidRDefault="00EC612A" w:rsidP="00EC612A">
      <w:pPr>
        <w:pStyle w:val="Footnote"/>
      </w:pPr>
      <w:r>
        <w:rPr>
          <w:vertAlign w:val="superscript"/>
        </w:rPr>
        <w:footnoteRef/>
      </w:r>
      <w:r>
        <w:t xml:space="preserve"> Even when controlling for factors such as crime rates and socioeconomic demographics. In contrast, 87% of Black Americans agreed that Blacks are treated less fairly than whites by the criminal justice system. See </w:t>
      </w:r>
      <w:r>
        <w:fldChar w:fldCharType="begin"/>
      </w:r>
      <w:r>
        <w:instrText xml:space="preserve"> ADDIN EN.CITE &lt;EndNote&gt;&lt;Cite&gt;&lt;Author&gt;Eberhardt&lt;/Author&gt;&lt;Year&gt;2006&lt;/Year&gt;&lt;RecNum&gt;232&lt;/RecNum&gt;&lt;DisplayText&gt;(Eberhardt, Davies, Purdie-Vaughns, &amp;amp; Johnson, 2006)&lt;/DisplayText&gt;&lt;record&gt;&lt;rec-number&gt;232&lt;/rec-number&gt;&lt;foreign-keys&gt;&lt;key app="EN" db-id="wtx9x9fxza9rpfetafo5axztvavvdtzzx55d" timestamp="1592840920" guid="6539dd01-db19-40d7-875c-8cfa22b30920"&gt;232&lt;/key&gt;&lt;/foreign-keys&gt;&lt;ref-type name="Journal Article"&gt;17&lt;/ref-type&gt;&lt;contributors&gt;&lt;authors&gt;&lt;author&gt;Eberhardt, Jennifer L&lt;/author&gt;&lt;author&gt;Davies, Paul G&lt;/author&gt;&lt;author&gt;Purdie-Vaughns, Valerie J&lt;/author&gt;&lt;author&gt;Johnson, Sheri Lynn&lt;/author&gt;&lt;/authors&gt;&lt;/contributors&gt;&lt;titles&gt;&lt;title&gt;Looking deathworthy: Perceived stereotypicality of Black defendants predicts capital-sentencing outcomes&lt;/title&gt;&lt;secondary-title&gt;Psychological science&lt;/secondary-title&gt;&lt;/titles&gt;&lt;periodical&gt;&lt;full-title&gt;Psychological science&lt;/full-title&gt;&lt;/periodical&gt;&lt;pages&gt;383-386&lt;/pages&gt;&lt;volume&gt;17&lt;/volume&gt;&lt;number&gt;5&lt;/number&gt;&lt;dates&gt;&lt;year&gt;2006&lt;/year&gt;&lt;/dates&gt;&lt;isbn&gt;0956-7976&lt;/isbn&gt;&lt;urls&gt;&lt;/urls&gt;&lt;/record&gt;&lt;/Cite&gt;&lt;/EndNote&gt;</w:instrText>
      </w:r>
      <w:r>
        <w:fldChar w:fldCharType="separate"/>
      </w:r>
      <w:r>
        <w:rPr>
          <w:noProof/>
        </w:rPr>
        <w:t>(</w:t>
      </w:r>
      <w:hyperlink w:anchor="_ENREF_13" w:tooltip="Eberhardt, 2006 #232" w:history="1">
        <w:r>
          <w:rPr>
            <w:noProof/>
          </w:rPr>
          <w:t>Eberhardt, Davies, Purdie-Vaughns, &amp; Johnson, 2006</w:t>
        </w:r>
      </w:hyperlink>
      <w:r>
        <w:rPr>
          <w:noProof/>
        </w:rPr>
        <w:t>)</w:t>
      </w:r>
      <w:r>
        <w:fldChar w:fldCharType="end"/>
      </w:r>
      <w:r>
        <w:t xml:space="preserve">, </w:t>
      </w:r>
      <w:r>
        <w:fldChar w:fldCharType="begin"/>
      </w:r>
      <w:r>
        <w:instrText xml:space="preserve"> ADDIN EN.CITE &lt;EndNote&gt;&lt;Cite&gt;&lt;Author&gt;Starr&lt;/Author&gt;&lt;Year&gt;2013&lt;/Year&gt;&lt;RecNum&gt;197&lt;/RecNum&gt;&lt;DisplayText&gt;(Starr &amp;amp; Rehavi, 2013)&lt;/DisplayText&gt;&lt;record&gt;&lt;rec-number&gt;197&lt;/rec-number&gt;&lt;foreign-keys&gt;&lt;key app="EN" db-id="wtx9x9fxza9rpfetafo5axztvavvdtzzx55d" timestamp="1592840813" guid="e0d27aea-7fe9-4966-b2c9-33347de6b85a"&gt;197&lt;/key&gt;&lt;/foreign-keys&gt;&lt;ref-type name="Journal Article"&gt;17&lt;/ref-type&gt;&lt;contributors&gt;&lt;authors&gt;&lt;author&gt;Starr, Sonja B&lt;/author&gt;&lt;author&gt;Rehavi, M Marit&lt;/author&gt;&lt;/authors&gt;&lt;/contributors&gt;&lt;titles&gt;&lt;title&gt;Mandatory sentencing and racial disparity: Assessing the role of prosecutors and the effects of Booker&lt;/title&gt;&lt;secondary-title&gt;Yale LJ&lt;/secondary-title&gt;&lt;/titles&gt;&lt;periodical&gt;&lt;full-title&gt;Yale LJ&lt;/full-title&gt;&lt;/periodical&gt;&lt;pages&gt;2&lt;/pages&gt;&lt;volume&gt;123&lt;/volume&gt;&lt;dates&gt;&lt;year&gt;2013&lt;/year&gt;&lt;/dates&gt;&lt;urls&gt;&lt;/urls&gt;&lt;/record&gt;&lt;/Cite&gt;&lt;/EndNote&gt;</w:instrText>
      </w:r>
      <w:r>
        <w:fldChar w:fldCharType="separate"/>
      </w:r>
      <w:r>
        <w:rPr>
          <w:noProof/>
        </w:rPr>
        <w:t>(</w:t>
      </w:r>
      <w:hyperlink w:anchor="_ENREF_51" w:tooltip="Starr, 2013 #197" w:history="1">
        <w:r>
          <w:rPr>
            <w:noProof/>
          </w:rPr>
          <w:t>Starr &amp; Rehavi, 2013</w:t>
        </w:r>
      </w:hyperlink>
      <w:r>
        <w:rPr>
          <w:noProof/>
        </w:rPr>
        <w:t>)</w:t>
      </w:r>
      <w:r>
        <w:fldChar w:fldCharType="end"/>
      </w:r>
      <w:r>
        <w:t xml:space="preserve">, </w:t>
      </w:r>
      <w:r>
        <w:fldChar w:fldCharType="begin"/>
      </w:r>
      <w:r>
        <w:instrText xml:space="preserve"> ADDIN EN.CITE &lt;EndNote&gt;&lt;Cite&gt;&lt;Author&gt;Hetey&lt;/Author&gt;&lt;Year&gt;2016&lt;/Year&gt;&lt;RecNum&gt;223&lt;/RecNum&gt;&lt;DisplayText&gt;(Hetey, Monin, Maitreyi, &amp;amp; Eberhardt, 2016)&lt;/DisplayText&gt;&lt;record&gt;&lt;rec-number&gt;223&lt;/rec-number&gt;&lt;foreign-keys&gt;&lt;key app="EN" db-id="wtx9x9fxza9rpfetafo5axztvavvdtzzx55d" timestamp="1592840883" guid="2f749bd5-7c93-4540-8be9-5d20d6f4c936"&gt;223&lt;/key&gt;&lt;/foreign-keys&gt;&lt;ref-type name="Report"&gt;27&lt;/ref-type&gt;&lt;contributors&gt;&lt;authors&gt;&lt;author&gt;Hetey, Rebecca&lt;/author&gt;&lt;author&gt;Monin, Benoıt&lt;/author&gt;&lt;author&gt;Maitreyi, Amrita&lt;/author&gt;&lt;author&gt;Eberhardt, Jennifer&lt;/author&gt;&lt;/authors&gt;&lt;/contributors&gt;&lt;titles&gt;&lt;title&gt;Data for change: A statistical analysis of police stops, searches, handcuffings, and arrests in oakland&lt;/title&gt;&lt;/titles&gt;&lt;dates&gt;&lt;year&gt;2016&lt;/year&gt;&lt;/dates&gt;&lt;publisher&gt;Calif., 2013-2014. Technical report, Stanford University, SPARQ: Social …&lt;/publisher&gt;&lt;urls&gt;&lt;/urls&gt;&lt;/record&gt;&lt;/Cite&gt;&lt;/EndNote&gt;</w:instrText>
      </w:r>
      <w:r>
        <w:fldChar w:fldCharType="separate"/>
      </w:r>
      <w:r>
        <w:rPr>
          <w:noProof/>
        </w:rPr>
        <w:t>(</w:t>
      </w:r>
      <w:hyperlink w:anchor="_ENREF_28" w:tooltip="Hetey, 2016 #223" w:history="1">
        <w:r>
          <w:rPr>
            <w:noProof/>
          </w:rPr>
          <w:t>Hetey, Monin, Maitreyi, &amp; Eberhardt, 2016</w:t>
        </w:r>
      </w:hyperlink>
      <w:r>
        <w:rPr>
          <w:noProof/>
        </w:rPr>
        <w:t>)</w:t>
      </w:r>
      <w:r>
        <w:fldChar w:fldCharType="end"/>
      </w:r>
      <w:r>
        <w:t xml:space="preserve">, </w:t>
      </w:r>
      <w:r>
        <w:fldChar w:fldCharType="begin"/>
      </w:r>
      <w:r>
        <w:instrText xml:space="preserve"> ADDIN EN.CITE &lt;EndNote&gt;&lt;Cite&gt;&lt;Author&gt;Commission&lt;/Author&gt;&lt;Year&gt;2018&lt;/Year&gt;&lt;RecNum&gt;200&lt;/RecNum&gt;&lt;DisplayText&gt;(Commission, 2018)&lt;/DisplayText&gt;&lt;record&gt;&lt;rec-number&gt;200&lt;/rec-number&gt;&lt;foreign-keys&gt;&lt;key app="EN" db-id="wtx9x9fxza9rpfetafo5axztvavvdtzzx55d" timestamp="1592840813" guid="616bdf11-0c11-4659-a48e-fbdaebb992a5"&gt;200&lt;/key&gt;&lt;/foreign-keys&gt;&lt;ref-type name="Journal Article"&gt;17&lt;/ref-type&gt;&lt;contributors&gt;&lt;authors&gt;&lt;author&gt;United States Sentencing Commission&lt;/author&gt;&lt;/authors&gt;&lt;/contributors&gt;&lt;titles&gt;&lt;title&gt;Demographic differences in sentencing: An update to the 2012 Booker report&lt;/title&gt;&lt;secondary-title&gt;Federal Sentencing Reporter&lt;/secondary-title&gt;&lt;/titles&gt;&lt;periodical&gt;&lt;full-title&gt;Federal Sentencing Reporter&lt;/full-title&gt;&lt;/periodical&gt;&lt;pages&gt;212-229&lt;/pages&gt;&lt;volume&gt;30&lt;/volume&gt;&lt;number&gt;3&lt;/number&gt;&lt;dates&gt;&lt;year&gt;2018&lt;/year&gt;&lt;/dates&gt;&lt;isbn&gt;1053-9867&lt;/isbn&gt;&lt;urls&gt;&lt;/urls&gt;&lt;/record&gt;&lt;/Cite&gt;&lt;/EndNote&gt;</w:instrText>
      </w:r>
      <w:r>
        <w:fldChar w:fldCharType="separate"/>
      </w:r>
      <w:r>
        <w:rPr>
          <w:noProof/>
        </w:rPr>
        <w:t>(</w:t>
      </w:r>
      <w:hyperlink w:anchor="_ENREF_9" w:tooltip="Commission, 2018 #200" w:history="1">
        <w:r>
          <w:rPr>
            <w:noProof/>
          </w:rPr>
          <w:t>Commission, 2018</w:t>
        </w:r>
      </w:hyperlink>
      <w:r>
        <w:rPr>
          <w:noProof/>
        </w:rPr>
        <w:t>)</w:t>
      </w:r>
      <w:r>
        <w:fldChar w:fldCharType="end"/>
      </w:r>
      <w:r>
        <w:t xml:space="preserve">, </w:t>
      </w:r>
      <w:r>
        <w:fldChar w:fldCharType="begin"/>
      </w:r>
      <w:r>
        <w:instrText xml:space="preserve"> ADDIN EN.CITE &lt;EndNote&gt;&lt;Cite&gt;&lt;Author&gt;Horowitz&lt;/Author&gt;&lt;Year&gt;2019&lt;/Year&gt;&lt;RecNum&gt;211&lt;/RecNum&gt;&lt;DisplayText&gt;(J. Horowitz, Brown, &amp;amp; Cox, 2019)&lt;/DisplayText&gt;&lt;record&gt;&lt;rec-number&gt;211&lt;/rec-number&gt;&lt;foreign-keys&gt;&lt;key app="EN" db-id="wtx9x9fxza9rpfetafo5axztvavvdtzzx55d" timestamp="1592840850" guid="fe68944d-5d9e-4794-ab52-0b2873f13f36"&gt;211&lt;/key&gt;&lt;/foreign-keys&gt;&lt;ref-type name="Journal Article"&gt;17&lt;/ref-type&gt;&lt;contributors&gt;&lt;authors&gt;&lt;author&gt;Horowitz, J&lt;/author&gt;&lt;author&gt;Brown, Anna&lt;/author&gt;&lt;author&gt;Cox, Kiana&lt;/author&gt;&lt;/authors&gt;&lt;/contributors&gt;&lt;titles&gt;&lt;title&gt;Race in America 2019&lt;/title&gt;&lt;secondary-title&gt;Pew Research Center&lt;/secondary-title&gt;&lt;/titles&gt;&lt;periodical&gt;&lt;full-title&gt;Pew Research Center&lt;/full-title&gt;&lt;/periodical&gt;&lt;volume&gt;9&lt;/volume&gt;&lt;dates&gt;&lt;year&gt;2019&lt;/year&gt;&lt;/dates&gt;&lt;urls&gt;&lt;/urls&gt;&lt;/record&gt;&lt;/Cite&gt;&lt;/EndNote&gt;</w:instrText>
      </w:r>
      <w:r>
        <w:fldChar w:fldCharType="separate"/>
      </w:r>
      <w:r>
        <w:rPr>
          <w:noProof/>
        </w:rPr>
        <w:t>(</w:t>
      </w:r>
      <w:hyperlink w:anchor="_ENREF_29" w:tooltip="Horowitz, 2019 #211" w:history="1">
        <w:r>
          <w:rPr>
            <w:noProof/>
          </w:rPr>
          <w:t>J. Horowitz, Brown, &amp; Cox, 2019</w:t>
        </w:r>
      </w:hyperlink>
      <w:r>
        <w:rPr>
          <w:noProof/>
        </w:rPr>
        <w:t>)</w:t>
      </w:r>
      <w:r>
        <w:fldChar w:fldCharType="end"/>
      </w:r>
      <w:r>
        <w:t>.</w:t>
      </w:r>
    </w:p>
  </w:footnote>
  <w:footnote w:id="2">
    <w:p w14:paraId="450DAC0A"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&lt;EndNote&gt;&lt;Cite&gt;&lt;Author&gt;Kraus&lt;/Author&gt;&lt;Year&gt;2017&lt;/Year&gt;&lt;RecNum&gt;204&lt;/RecNum&gt;&lt;DisplayText&gt;(Kraus, Rucker, &amp;amp; Richeson, 2017)&lt;/DisplayText&gt;&lt;record&gt;&lt;rec-number&gt;204&lt;/rec-number&gt;&lt;foreign-keys&gt;&lt;key app="EN" db-id="wtx9x9fxza9rpfetafo5axztvavvdtzzx55d" timestamp="1592840850" guid="cca9d74c-b10c-4e82-8c58-5dacf44f1bba"&gt;204&lt;/key&gt;&lt;/foreign-keys&gt;&lt;ref-type name="Journal Article"&gt;17&lt;/ref-type&gt;&lt;contributors&gt;&lt;authors&gt;&lt;author&gt;Kraus, Michael W&lt;/author&gt;&lt;author&gt;Rucker, Julian M&lt;/author&gt;&lt;author&gt;Richeson, Jennifer A&lt;/author&gt;&lt;/authors&gt;&lt;/contributors&gt;&lt;titles&gt;&lt;title&gt;Americans misperceive racial economic equality&lt;/title&gt;&lt;secondary-title&gt;Proceedings of the National Academy of Sciences&lt;/secondary-title&gt;&lt;/titles&gt;&lt;periodical&gt;&lt;full-title&gt;Proceedings of the National Academy of Sciences&lt;/full-title&gt;&lt;/periodical&gt;&lt;pages&gt;10324-10331&lt;/pages&gt;&lt;volume&gt;114&lt;/volume&gt;&lt;number&gt;39&lt;/number&gt;&lt;dates&gt;&lt;year&gt;2017&lt;/year&gt;&lt;/dates&gt;&lt;isbn&gt;0027-8424&lt;/isbn&gt;&lt;urls&gt;&lt;/urls&gt;&lt;/record&gt;&lt;/Cite&gt;&lt;/EndNote&gt;</w:instrText>
      </w:r>
      <w:r>
        <w:fldChar w:fldCharType="separate"/>
      </w:r>
      <w:r>
        <w:rPr>
          <w:noProof/>
        </w:rPr>
        <w:t>(</w:t>
      </w:r>
      <w:hyperlink w:anchor="_ENREF_31" w:tooltip="Kraus, 2017 #204" w:history="1">
        <w:r>
          <w:rPr>
            <w:noProof/>
          </w:rPr>
          <w:t>Kraus, Rucker, &amp; Richeson, 2017</w:t>
        </w:r>
      </w:hyperlink>
      <w:r>
        <w:rPr>
          <w:noProof/>
        </w:rPr>
        <w:t>)</w:t>
      </w:r>
      <w:r>
        <w:fldChar w:fldCharType="end"/>
      </w:r>
      <w:r>
        <w:t>.</w:t>
      </w:r>
    </w:p>
  </w:footnote>
  <w:footnote w:id="3">
    <w:p w14:paraId="388DD180"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&lt;EndNote&gt;&lt;Cite&gt;&lt;Author&gt;Kraus&lt;/Author&gt;&lt;Year&gt;2017&lt;/Year&gt;&lt;RecNum&gt;204&lt;/RecNum&gt;&lt;DisplayText&gt;(Kraus et al., 2017)&lt;/DisplayText&gt;&lt;record&gt;&lt;rec-number&gt;204&lt;/rec-number&gt;&lt;foreign-keys&gt;&lt;key app="EN" db-id="wtx9x9fxza9rpfetafo5axztvavvdtzzx55d" timestamp="1592840850" guid="cca9d74c-b10c-4e82-8c58-5dacf44f1bba"&gt;204&lt;/key&gt;&lt;/foreign-keys&gt;&lt;ref-type name="Journal Article"&gt;17&lt;/ref-type&gt;&lt;contributors&gt;&lt;authors&gt;&lt;author&gt;Kraus, Michael W&lt;/author&gt;&lt;author&gt;Rucker, Julian M&lt;/author&gt;&lt;author&gt;Richeson, Jennifer A&lt;/author&gt;&lt;/authors&gt;&lt;/contributors&gt;&lt;titles&gt;&lt;title&gt;Americans misperceive racial economic equality&lt;/title&gt;&lt;secondary-title&gt;Proceedings of the National Academy of Sciences&lt;/secondary-title&gt;&lt;/titles&gt;&lt;periodical&gt;&lt;full-title&gt;Proceedings of the National Academy of Sciences&lt;/full-title&gt;&lt;/periodical&gt;&lt;pages&gt;10324-10331&lt;/pages&gt;&lt;volume&gt;114&lt;/volume&gt;&lt;number&gt;39&lt;/number&gt;&lt;dates&gt;&lt;year&gt;2017&lt;/year&gt;&lt;/dates&gt;&lt;isbn&gt;0027-8424&lt;/isbn&gt;&lt;urls&gt;&lt;/urls&gt;&lt;/record&gt;&lt;/Cite&gt;&lt;/EndNote&gt;</w:instrText>
      </w:r>
      <w:r>
        <w:fldChar w:fldCharType="separate"/>
      </w:r>
      <w:r>
        <w:rPr>
          <w:noProof/>
        </w:rPr>
        <w:t>(</w:t>
      </w:r>
      <w:hyperlink w:anchor="_ENREF_31" w:tooltip="Kraus, 2017 #204" w:history="1">
        <w:r>
          <w:rPr>
            <w:noProof/>
          </w:rPr>
          <w:t>Kraus et al., 2017</w:t>
        </w:r>
      </w:hyperlink>
      <w:r>
        <w:rPr>
          <w:noProof/>
        </w:rPr>
        <w:t>)</w:t>
      </w:r>
      <w:r>
        <w:fldChar w:fldCharType="end"/>
      </w:r>
      <w:r>
        <w:t>.</w:t>
      </w:r>
    </w:p>
  </w:footnote>
  <w:footnote w:id="4">
    <w:p w14:paraId="33AAFB7C"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&lt;EndNote&gt;&lt;Cite&gt;&lt;Author&gt;Glantz&lt;/Author&gt;&lt;Year&gt;2018&lt;/Year&gt;&lt;RecNum&gt;93&lt;/RecNum&gt;&lt;DisplayText&gt;(Glantz &amp;amp; Martinez, 2018)&lt;/DisplayText&gt;&lt;record&gt;&lt;rec-number&gt;93&lt;/rec-number&gt;&lt;foreign-keys&gt;&lt;key app="EN" db-id="wtx9x9fxza9rpfetafo5axztvavvdtzzx55d" timestamp="1570224750" guid="cc7fb52c-b265-4553-a5cb-9112344ca9a0"&gt;93&lt;/key&gt;&lt;/foreign-keys&gt;&lt;ref-type name="Journal Article"&gt;17&lt;/ref-type&gt;&lt;contributors&gt;&lt;authors&gt;&lt;author&gt;Glantz, Aaron&lt;/author&gt;&lt;author&gt;Martinez, Emmanuel&lt;/author&gt;&lt;/authors&gt;&lt;/contributors&gt;&lt;titles&gt;&lt;title&gt;For people of color, banks are shutting the door to homeownership&lt;/title&gt;&lt;secondary-title&gt;Reveal, The Center for Investigative Reporting&lt;/secondary-title&gt;&lt;/titles&gt;&lt;periodical&gt;&lt;full-title&gt;Reveal, The Center for Investigative Reporting&lt;/full-title&gt;&lt;/periodical&gt;&lt;volume&gt;14&lt;/volume&gt;&lt;dates&gt;&lt;year&gt;2018&lt;/year&gt;&lt;/dates&gt;&lt;urls&gt;&lt;/urls&gt;&lt;/record&gt;&lt;/Cite&gt;&lt;/EndNote&gt;</w:instrText>
      </w:r>
      <w:r>
        <w:fldChar w:fldCharType="separate"/>
      </w:r>
      <w:r>
        <w:rPr>
          <w:noProof/>
        </w:rPr>
        <w:t>(</w:t>
      </w:r>
      <w:hyperlink w:anchor="_ENREF_17" w:tooltip="Glantz, 2018 #93" w:history="1">
        <w:r>
          <w:rPr>
            <w:noProof/>
          </w:rPr>
          <w:t>Glantz &amp; Martinez, 2018</w:t>
        </w:r>
      </w:hyperlink>
      <w:r>
        <w:rPr>
          <w:noProof/>
        </w:rPr>
        <w:t>)</w:t>
      </w:r>
      <w:r>
        <w:fldChar w:fldCharType="end"/>
      </w:r>
      <w:r>
        <w:t xml:space="preserve">, </w:t>
      </w:r>
      <w:r>
        <w:fldChar w:fldCharType="begin"/>
      </w:r>
      <w:r>
        <w:instrText xml:space="preserve"> ADDIN EN.CITE &lt;EndNote&gt;&lt;Cite&gt;&lt;Author&gt;Horowitz&lt;/Author&gt;&lt;Year&gt;2019&lt;/Year&gt;&lt;RecNum&gt;211&lt;/RecNum&gt;&lt;DisplayText&gt;(J. Horowitz et al., 2019)&lt;/DisplayText&gt;&lt;record&gt;&lt;rec-number&gt;211&lt;/rec-number&gt;&lt;foreign-keys&gt;&lt;key app="EN" db-id="wtx9x9fxza9rpfetafo5axztvavvdtzzx55d" timestamp="1592840850" guid="fe68944d-5d9e-4794-ab52-0b2873f13f36"&gt;211&lt;/key&gt;&lt;/foreign-keys&gt;&lt;ref-type name="Journal Article"&gt;17&lt;/ref-type&gt;&lt;contributors&gt;&lt;authors&gt;&lt;author&gt;Horowitz, J&lt;/author&gt;&lt;author&gt;Brown, Anna&lt;/author&gt;&lt;author&gt;Cox, Kiana&lt;/author&gt;&lt;/authors&gt;&lt;/contributors&gt;&lt;titles&gt;&lt;title&gt;Race in America 2019&lt;/title&gt;&lt;secondary-title&gt;Pew Research Center&lt;/secondary-title&gt;&lt;/titles&gt;&lt;periodical&gt;&lt;full-title&gt;Pew Research Center&lt;/full-title&gt;&lt;/periodical&gt;&lt;volume&gt;9&lt;/volume&gt;&lt;dates&gt;&lt;year&gt;2019&lt;/year&gt;&lt;/dates&gt;&lt;urls&gt;&lt;/urls&gt;&lt;/record&gt;&lt;/Cite&gt;&lt;/EndNote&gt;</w:instrText>
      </w:r>
      <w:r>
        <w:fldChar w:fldCharType="separate"/>
      </w:r>
      <w:r>
        <w:rPr>
          <w:noProof/>
        </w:rPr>
        <w:t>(</w:t>
      </w:r>
      <w:hyperlink w:anchor="_ENREF_29" w:tooltip="Horowitz, 2019 #211" w:history="1">
        <w:r>
          <w:rPr>
            <w:noProof/>
          </w:rPr>
          <w:t>J. Horowitz et al., 2019</w:t>
        </w:r>
      </w:hyperlink>
      <w:r>
        <w:rPr>
          <w:noProof/>
        </w:rPr>
        <w:t>)</w:t>
      </w:r>
      <w:r>
        <w:fldChar w:fldCharType="end"/>
      </w:r>
      <w:r>
        <w:t>. They controlled for various economic and social factors such as applicant’s income, loan amount, ratio between loan amount and applicant’s income, type of lender, racial makeup of neighborhood, and median income of neighborhood.</w:t>
      </w:r>
    </w:p>
  </w:footnote>
  <w:footnote w:id="5">
    <w:p w14:paraId="417E91AC"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 ExcludeAuth="1"&gt;&lt;Year&gt;2018&lt;/Year&gt;&lt;RecNum&gt;234&lt;/RecNum&gt;&lt;DisplayText&gt;(&amp;quot;2017 National Healthcare Quality and Disparities Report,&amp;quot; 2018)&lt;/DisplayText&gt;&lt;record&gt;&lt;rec-number&gt;234&lt;/rec-number&gt;&lt;foreign-keys&gt;&lt;key app="EN" db-id="wtx9x9fxza9rpfetafo5axztvavvdtzzx55d" timestamp="1592841276" guid="6d44c442-16c1-431a-aef7-a6b7a72fe60d"&gt;234&lt;/key&gt;&lt;/foreign-keys&gt;&lt;ref-type name="Journal Article"&gt;17&lt;/ref-type&gt;&lt;contributors&gt;&lt;/contributors&gt;&lt;titles&gt;&lt;title&gt;2017 National Healthcare Quality and Disparities Report&lt;/title&gt;&lt;/titles&gt;&lt;number&gt;AHRQ Pub. No. 18-0033-EF&lt;/number&gt;&lt;dates&gt;&lt;year&gt;2018&lt;/year&gt;&lt;/dates&gt;&lt;pub-location&gt;Rockville, MD&lt;/pub-location&gt;&lt;publisher&gt;Agency for Healthcare Research and Quality&lt;/publisher&gt;&lt;urls&gt;&lt;/urls&gt;&lt;/record&gt;&lt;/Cite&gt;&lt;/EndNote&gt;</w:instrText>
      </w:r>
      <w:r>
        <w:fldChar w:fldCharType="separate"/>
      </w:r>
      <w:r>
        <w:rPr>
          <w:noProof/>
        </w:rPr>
        <w:t>(</w:t>
      </w:r>
      <w:hyperlink w:anchor="_ENREF_1" w:tooltip=", 2018 #234" w:history="1">
        <w:r>
          <w:rPr>
            <w:noProof/>
          </w:rPr>
          <w:t>"2017 National Healthcare Quality and Disparities Report," 2018</w:t>
        </w:r>
      </w:hyperlink>
      <w:r>
        <w:rPr>
          <w:noProof/>
        </w:rPr>
        <w:t>)</w:t>
      </w:r>
      <w:r>
        <w:fldChar w:fldCharType="end"/>
      </w:r>
      <w:r>
        <w:t xml:space="preserve">, </w:t>
      </w:r>
      <w:r>
        <w:fldChar w:fldCharType="begin"/>
      </w:r>
      <w:r>
        <w:instrText xml:space="preserve"> ADDIN EN.CITE &lt;EndNote&gt;&lt;Cite&gt;&lt;Author&gt;Horowitz&lt;/Author&gt;&lt;Year&gt;2019&lt;/Year&gt;&lt;RecNum&gt;211&lt;/RecNum&gt;&lt;DisplayText&gt;(J. Horowitz et al., 2019)&lt;/DisplayText&gt;&lt;record&gt;&lt;rec-number&gt;211&lt;/rec-number&gt;&lt;foreign-keys&gt;&lt;key app="EN" db-id="wtx9x9fxza9rpfetafo5axztvavvdtzzx55d" timestamp="1592840850" guid="fe68944d-5d9e-4794-ab52-0b2873f13f36"&gt;211&lt;/key&gt;&lt;/foreign-keys&gt;&lt;ref-type name="Journal Article"&gt;17&lt;/ref-type&gt;&lt;contributors&gt;&lt;authors&gt;&lt;author&gt;Horowitz, J&lt;/author&gt;&lt;author&gt;Brown, Anna&lt;/author&gt;&lt;author&gt;Cox, Kiana&lt;/author&gt;&lt;/authors&gt;&lt;/contributors&gt;&lt;titles&gt;&lt;title&gt;Race in America 2019&lt;/title&gt;&lt;secondary-title&gt;Pew Research Center&lt;/secondary-title&gt;&lt;/titles&gt;&lt;periodical&gt;&lt;full-title&gt;Pew Research Center&lt;/full-title&gt;&lt;/periodical&gt;&lt;volume&gt;9&lt;/volume&gt;&lt;dates&gt;&lt;year&gt;2019&lt;/year&gt;&lt;/dates&gt;&lt;urls&gt;&lt;/urls&gt;&lt;/record&gt;&lt;/Cite&gt;&lt;/EndNote&gt;</w:instrText>
      </w:r>
      <w:r>
        <w:fldChar w:fldCharType="separate"/>
      </w:r>
      <w:r>
        <w:rPr>
          <w:noProof/>
        </w:rPr>
        <w:t>(</w:t>
      </w:r>
      <w:hyperlink w:anchor="_ENREF_29" w:tooltip="Horowitz, 2019 #211" w:history="1">
        <w:r>
          <w:rPr>
            <w:noProof/>
          </w:rPr>
          <w:t>J. Horowitz et al., 2019</w:t>
        </w:r>
      </w:hyperlink>
      <w:r>
        <w:rPr>
          <w:noProof/>
        </w:rPr>
        <w:t>)</w:t>
      </w:r>
      <w:r>
        <w:fldChar w:fldCharType="end"/>
      </w:r>
      <w:r>
        <w:t>.</w:t>
      </w:r>
    </w:p>
  </w:footnote>
  <w:footnote w:id="6">
    <w:p w14:paraId="2FA75438" w14:textId="77777777" w:rsidR="00EC612A" w:rsidRDefault="00EC612A" w:rsidP="00EC612A">
      <w:pPr>
        <w:pStyle w:val="Footnote"/>
        <w:rPr>
          <w:rFonts w:ascii="TimesNewRomanPSMT" w:hAnsi="TimesNewRomanPSMT" w:cs="TimesNewRomanPSMT"/>
          <w:sz w:val="24"/>
          <w:szCs w:val="24"/>
        </w:rPr>
      </w:pPr>
      <w:r>
        <w:rPr>
          <w:rFonts w:ascii="TimesNewRomanPSMT" w:hAnsi="TimesNewRomanPSMT" w:cs="TimesNewRomanPSMT"/>
          <w:sz w:val="24"/>
          <w:szCs w:val="24"/>
          <w:vertAlign w:val="superscript"/>
        </w:rPr>
        <w:footnoteRef/>
      </w:r>
      <w:r>
        <w:rPr>
          <w:rFonts w:ascii="TimesNewRomanPSMT" w:hAnsi="TimesNewRomanPSMT" w:cs="TimesNewRomanPSMT"/>
          <w:sz w:val="24"/>
          <w:szCs w:val="24"/>
        </w:rPr>
        <w:t xml:space="preserve"> See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&lt;EndNote&gt;&lt;Cite&gt;&lt;Author&gt;Smith&lt;/Author&gt;&lt;Year&gt;1983&lt;/Year&gt;&lt;RecNum&gt;195&lt;/RecNum&gt;&lt;DisplayText&gt;(Smith, 1983, 2016)&lt;/DisplayText&gt;&lt;record&gt;&lt;rec-number&gt;195&lt;/rec-number&gt;&lt;foreign-keys&gt;&lt;key app="EN" db-id="wtx9x9fxza9rpfetafo5axztvavvdtzzx55d" timestamp="1592840813" guid="2ca27242-583b-484c-89f8-d831a27bb11a"&gt;195&lt;/key&gt;&lt;/foreign-keys&gt;&lt;ref-type name="Journal Article"&gt;17&lt;/ref-type&gt;&lt;contributors&gt;&lt;authors&gt;&lt;author&gt;Smith, Holly&lt;/author&gt;&lt;/authors&gt;&lt;/contributors&gt;&lt;titles&gt;&lt;title&gt;Culpable ignorance&lt;/title&gt;&lt;secondary-title&gt;The Philosophical Review&lt;/secondary-title&gt;&lt;/titles&gt;&lt;periodical&gt;&lt;full-title&gt;The Philosophical Review&lt;/full-title&gt;&lt;/periodical&gt;&lt;pages&gt;543-571&lt;/pages&gt;&lt;volume&gt;92&lt;/volume&gt;&lt;number&gt;4&lt;/number&gt;&lt;dates&gt;&lt;year&gt;1983&lt;/year&gt;&lt;/dates&gt;&lt;urls&gt;&lt;/urls&gt;&lt;/record&gt;&lt;/Cite&gt;&lt;Cite&gt;&lt;Author&gt;Smith&lt;/Author&gt;&lt;Year&gt;2016&lt;/Year&gt;&lt;RecNum&gt;237&lt;/RecNum&gt;&lt;record&gt;&lt;rec-number&gt;237&lt;/rec-number&gt;&lt;foreign-keys&gt;&lt;key app="EN" db-id="wtx9x9fxza9rpfetafo5axztvavvdtzzx55d" timestamp="1592842568" guid="4bc95d8f-92b3-4547-af71-0f6cffde413d"&gt;237&lt;/key&gt;&lt;/foreign-keys&gt;&lt;ref-type name="Book Section"&gt;5&lt;/ref-type&gt;&lt;contributors&gt;&lt;authors&gt;&lt;author&gt;Smith, Holly&lt;/author&gt;&lt;/authors&gt;&lt;secondary-authors&gt;&lt;author&gt;Peels, Rik&lt;/author&gt;&lt;/secondary-authors&gt;&lt;/contributors&gt;&lt;titles&gt;&lt;title&gt;Tracing Cases of Culpable Ignorance&lt;/title&gt;&lt;secondary-title&gt;Perspectives on Ignorance from Moral and Social Philosophy&lt;/secondary-title&gt;&lt;/titles&gt;&lt;pages&gt;95-119&lt;/pages&gt;&lt;dates&gt;&lt;year&gt;2016&lt;/year&gt;&lt;/dates&gt;&lt;publisher&gt;Routledge&lt;/publisher&gt;&lt;urls&gt;&lt;/urls&gt;&lt;/record&gt;&lt;/Cite&gt;&lt;/EndNote&gt;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48" w:tooltip="Smith, 1983 #195" w:history="1">
        <w:r>
          <w:rPr>
            <w:rFonts w:ascii="TimesNewRomanPSMT" w:hAnsi="TimesNewRomanPSMT" w:cs="TimesNewRomanPSMT"/>
            <w:noProof/>
            <w:sz w:val="24"/>
            <w:szCs w:val="24"/>
          </w:rPr>
          <w:t>Smith, 1983</w:t>
        </w:r>
      </w:hyperlink>
      <w:r>
        <w:rPr>
          <w:rFonts w:ascii="TimesNewRomanPSMT" w:hAnsi="TimesNewRomanPSMT" w:cs="TimesNewRomanPSMT"/>
          <w:noProof/>
          <w:sz w:val="24"/>
          <w:szCs w:val="24"/>
        </w:rPr>
        <w:t xml:space="preserve">, </w:t>
      </w:r>
      <w:hyperlink w:anchor="_ENREF_49" w:tooltip="Smith, 2016 #237" w:history="1">
        <w:r>
          <w:rPr>
            <w:rFonts w:ascii="TimesNewRomanPSMT" w:hAnsi="TimesNewRomanPSMT" w:cs="TimesNewRomanPSMT"/>
            <w:noProof/>
            <w:sz w:val="24"/>
            <w:szCs w:val="24"/>
          </w:rPr>
          <w:t>2016</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&lt;EndNote&gt;&lt;Cite&gt;&lt;Author&gt;Rosen&lt;/Author&gt;&lt;Year&gt;2008&lt;/Year&gt;&lt;RecNum&gt;213&lt;/RecNum&gt;&lt;DisplayText&gt;(Rosen, 2008)&lt;/DisplayText&gt;&lt;record&gt;&lt;rec-number&gt;213&lt;/rec-number&gt;&lt;foreign-keys&gt;&lt;key app="EN" db-id="wtx9x9fxza9rpfetafo5axztvavvdtzzx55d" timestamp="1592840850" guid="0a205f7f-ba79-48c8-a620-ab446ba3c110"&gt;213&lt;/key&gt;&lt;/foreign-keys&gt;&lt;ref-type name="Journal Article"&gt;17&lt;/ref-type&gt;&lt;contributors&gt;&lt;authors&gt;&lt;author&gt;Rosen, Gideon&lt;/author&gt;&lt;/authors&gt;&lt;/contributors&gt;&lt;titles&gt;&lt;title&gt;Kleinbart the oblivious and other tales of ignorance and responsibility&lt;/title&gt;&lt;secondary-title&gt;The Journal of Philosophy&lt;/secondary-title&gt;&lt;/titles&gt;&lt;periodical&gt;&lt;full-title&gt;The Journal of Philosophy&lt;/full-title&gt;&lt;/periodical&gt;&lt;pages&gt;591-610&lt;/pages&gt;&lt;volume&gt;105&lt;/volume&gt;&lt;number&gt;10&lt;/number&gt;&lt;dates&gt;&lt;year&gt;2008&lt;/year&gt;&lt;/dates&gt;&lt;isbn&gt;0022-362X&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44" w:tooltip="Rosen, 2008 #213" w:history="1">
        <w:r>
          <w:rPr>
            <w:rFonts w:ascii="TimesNewRomanPSMT" w:hAnsi="TimesNewRomanPSMT" w:cs="TimesNewRomanPSMT"/>
            <w:noProof/>
            <w:sz w:val="24"/>
            <w:szCs w:val="24"/>
          </w:rPr>
          <w:t>Rosen, 2008</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&lt;EndNote&gt;&lt;Cite&gt;&lt;Author&gt;Goldberg&lt;/Author&gt;&lt;Year&gt;2018&lt;/Year&gt;&lt;RecNum&gt;217&lt;/RecNum&gt;&lt;DisplayText&gt;(Goldberg, 2018)&lt;/DisplayText&gt;&lt;record&gt;&lt;rec-number&gt;217&lt;/rec-number&gt;&lt;foreign-keys&gt;&lt;key app="EN" db-id="wtx9x9fxza9rpfetafo5axztvavvdtzzx55d" timestamp="1592840883" guid="8118fc9a-1363-473b-880e-14b261ebbd33"&gt;217&lt;/key&gt;&lt;/foreign-keys&gt;&lt;ref-type name="Book"&gt;6&lt;/ref-type&gt;&lt;contributors&gt;&lt;authors&gt;&lt;author&gt;Goldberg, Sanford C&lt;/author&gt;&lt;/authors&gt;&lt;/contributors&gt;&lt;titles&gt;&lt;title&gt;To the best of our knowledge: Social expectations and epistemic normativity&lt;/title&gt;&lt;/titles&gt;&lt;dates&gt;&lt;year&gt;2018&lt;/year&gt;&lt;/dates&gt;&lt;publisher&gt;Oxford University Press&lt;/publisher&gt;&lt;isbn&gt;0198793677&lt;/isbn&gt;&lt;urls&gt;&lt;/urls&gt;&lt;/record&gt;&lt;/Cite&gt;&lt;/EndNote&gt;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18" w:tooltip="Goldberg, 2018 #217" w:history="1">
        <w:r>
          <w:rPr>
            <w:rFonts w:ascii="TimesNewRomanPSMT" w:hAnsi="TimesNewRomanPSMT" w:cs="TimesNewRomanPSMT"/>
            <w:noProof/>
            <w:sz w:val="24"/>
            <w:szCs w:val="24"/>
          </w:rPr>
          <w:t>Goldberg, 2018</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w:t>
      </w:r>
    </w:p>
  </w:footnote>
  <w:footnote w:id="7">
    <w:p w14:paraId="4156AEED" w14:textId="77777777" w:rsidR="00EC612A" w:rsidRDefault="00EC612A" w:rsidP="00EC612A">
      <w:pPr>
        <w:pStyle w:val="Footnote"/>
        <w:rPr>
          <w:rFonts w:ascii="TimesNewRomanPSMT" w:hAnsi="TimesNewRomanPSMT" w:cs="TimesNewRomanPSMT"/>
          <w:sz w:val="24"/>
          <w:szCs w:val="24"/>
        </w:rPr>
      </w:pPr>
      <w:r>
        <w:rPr>
          <w:rFonts w:ascii="TimesNewRomanPSMT" w:hAnsi="TimesNewRomanPSMT" w:cs="TimesNewRomanPSMT"/>
          <w:sz w:val="24"/>
          <w:szCs w:val="24"/>
          <w:vertAlign w:val="superscript"/>
        </w:rPr>
        <w:footnoteRef/>
      </w:r>
      <w:r>
        <w:rPr>
          <w:rFonts w:ascii="TimesNewRomanPSMT" w:hAnsi="TimesNewRomanPSMT" w:cs="TimesNewRomanPSMT"/>
          <w:sz w:val="24"/>
          <w:szCs w:val="24"/>
        </w:rPr>
        <w:t xml:space="preserve"> The term “white ignorance” is due to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&lt;EndNote&gt;&lt;Cite&gt;&lt;Author&gt;Mills&lt;/Author&gt;&lt;Year&gt;2007&lt;/Year&gt;&lt;RecNum&gt;91&lt;/RecNum&gt;&lt;DisplayText&gt;(C. Mills, 2007)&lt;/DisplayText&gt;&lt;record&gt;&lt;rec-number&gt;91&lt;/rec-number&gt;&lt;foreign-keys&gt;&lt;key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5" w:tooltip="Mills, 2007 #91" w:history="1">
        <w:r>
          <w:rPr>
            <w:rFonts w:ascii="TimesNewRomanPSMT" w:hAnsi="TimesNewRomanPSMT" w:cs="TimesNewRomanPSMT"/>
            <w:noProof/>
            <w:sz w:val="24"/>
            <w:szCs w:val="24"/>
          </w:rPr>
          <w:t>C. Mills,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See also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&lt;EndNote&gt;&lt;Cite&gt;&lt;Author&gt;Alcoff&lt;/Author&gt;&lt;Year&gt;2007&lt;/Year&gt;&lt;RecNum&gt;224&lt;/RecNum&gt;&lt;DisplayText&gt;(Alcoff, 2007)&lt;/DisplayText&gt;&lt;record&gt;&lt;rec-number&gt;224&lt;/rec-number&gt;&lt;foreign-keys&gt;&lt;key app="EN" db-id="wtx9x9fxza9rpfetafo5axztvavvdtzzx55d" timestamp="1592840920" guid="6c013b0f-717a-4c3b-9fc0-7b14ce900719"&gt;224&lt;/key&gt;&lt;/foreign-keys&gt;&lt;ref-type name="Journal Article"&gt;17&lt;/ref-type&gt;&lt;contributors&gt;&lt;authors&gt;&lt;author&gt;Alcoff, Linda Martín&lt;/author&gt;&lt;/authors&gt;&lt;/contributors&gt;&lt;titles&gt;&lt;title&gt;Epistemologies of ignorance: Three types&lt;/title&gt;&lt;/titles&gt;&lt;dates&gt;&lt;year&gt;2007&lt;/year&gt;&lt;/dates&gt;&lt;urls&gt;&lt;/urls&gt;&lt;/record&gt;&lt;/Cite&gt;&lt;/EndNote&gt;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2" w:tooltip="Alcoff, 2007 #224" w:history="1">
        <w:r>
          <w:rPr>
            <w:rFonts w:ascii="TimesNewRomanPSMT" w:hAnsi="TimesNewRomanPSMT" w:cs="TimesNewRomanPSMT"/>
            <w:noProof/>
            <w:sz w:val="24"/>
            <w:szCs w:val="24"/>
          </w:rPr>
          <w:t>Alcoff,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&lt;EndNote&gt;&lt;Cite&gt;&lt;Author&gt;Outlaw&lt;/Author&gt;&lt;Year&gt;2007&lt;/Year&gt;&lt;RecNum&gt;209&lt;/RecNum&gt;&lt;DisplayText&gt;(Outlaw, 2007)&lt;/DisplayText&gt;&lt;record&gt;&lt;rec-number&gt;209&lt;/rec-number&gt;&lt;foreign-keys&gt;&lt;key app="EN" db-id="wtx9x9fxza9rpfetafo5axztvavvdtzzx55d" timestamp="1592840850" guid="e1d9d5d5-dea8-43aa-ab4e-391477bbe791"&gt;209&lt;/key&gt;&lt;/foreign-keys&gt;&lt;ref-type name="Journal Article"&gt;17&lt;/ref-type&gt;&lt;contributors&gt;&lt;authors&gt;&lt;author&gt;Outlaw, Lucius T&lt;/author&gt;&lt;/authors&gt;&lt;/contributors&gt;&lt;titles&gt;&lt;title&gt;Social ordering and the systematic production of ignorance&lt;/title&gt;&lt;secondary-title&gt;Race and epistemologies of ignorance&lt;/secondary-title&gt;&lt;/titles&gt;&lt;periodical&gt;&lt;full-title&gt;Race and epistemologies of ignorance&lt;/full-title&gt;&lt;/periodical&gt;&lt;pages&gt;197-211&lt;/pages&gt;&lt;dates&gt;&lt;year&gt;2007&lt;/year&gt;&lt;/dates&gt;&lt;urls&gt;&lt;/urls&gt;&lt;/record&gt;&lt;/Cite&gt;&lt;/EndNote&gt;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40" w:tooltip="Outlaw, 2007 #209" w:history="1">
        <w:r>
          <w:rPr>
            <w:rFonts w:ascii="TimesNewRomanPSMT" w:hAnsi="TimesNewRomanPSMT" w:cs="TimesNewRomanPSMT"/>
            <w:noProof/>
            <w:sz w:val="24"/>
            <w:szCs w:val="24"/>
          </w:rPr>
          <w:t>Outlaw,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&lt;EndNote&gt;&lt;Cite&gt;&lt;Author&gt;Spelman&lt;/Author&gt;&lt;Year&gt;2007&lt;/Year&gt;&lt;RecNum&gt;196&lt;/RecNum&gt;&lt;DisplayText&gt;(Spelman, 2007)&lt;/DisplayText&gt;&lt;record&gt;&lt;rec-number&gt;196&lt;/rec-number&gt;&lt;foreign-keys&gt;&lt;key app="EN" db-id="wtx9x9fxza9rpfetafo5axztvavvdtzzx55d" timestamp="1592840813" guid="27532296-f06c-4197-8c4c-68a46ce55065"&gt;196&lt;/key&gt;&lt;/foreign-keys&gt;&lt;ref-type name="Journal Article"&gt;17&lt;/ref-type&gt;&lt;contributors&gt;&lt;authors&gt;&lt;author&gt;Spelman, Elizabeth&lt;/author&gt;&lt;/authors&gt;&lt;/contributors&gt;&lt;titles&gt;&lt;title&gt;Managing ignorance&lt;/title&gt;&lt;secondary-title&gt;Race and epistemologies of ignorance&lt;/secondary-title&gt;&lt;/titles&gt;&lt;periodical&gt;&lt;full-title&gt;Race and epistemologies of ignorance&lt;/full-title&gt;&lt;/periodical&gt;&lt;pages&gt;119-131&lt;/pages&gt;&lt;dates&gt;&lt;year&gt;2007&lt;/year&gt;&lt;/dates&gt;&lt;urls&gt;&lt;/urls&gt;&lt;/record&gt;&lt;/Cite&gt;&lt;/EndNote&gt;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50" w:tooltip="Spelman, 2007 #196" w:history="1">
        <w:r>
          <w:rPr>
            <w:rFonts w:ascii="TimesNewRomanPSMT" w:hAnsi="TimesNewRomanPSMT" w:cs="TimesNewRomanPSMT"/>
            <w:noProof/>
            <w:sz w:val="24"/>
            <w:szCs w:val="24"/>
          </w:rPr>
          <w:t>Spelman,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4" w:tooltip="Medina, 2013 #174" w:history="1">
        <w:r>
          <w:rPr>
            <w:rFonts w:ascii="TimesNewRomanPSMT" w:hAnsi="TimesNewRomanPSMT" w:cs="TimesNewRomanPSMT"/>
            <w:noProof/>
            <w:sz w:val="24"/>
            <w:szCs w:val="24"/>
          </w:rPr>
          <w:t>Medina, 2013</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&lt;EndNote&gt;&lt;Cite&gt;&lt;Author&gt;Mills&lt;/Author&gt;&lt;Year&gt;2015&lt;/Year&gt;&lt;RecNum&gt;90&lt;/RecNum&gt;&lt;DisplayText&gt;(Charles W Mills, 2015)&lt;/DisplayText&gt;&lt;record&gt;&lt;rec-number&gt;90&lt;/rec-number&gt;&lt;foreign-keys&gt;&lt;key app="EN" db-id="wtx9x9fxza9rpfetafo5axztvavvdtzzx55d" timestamp="1570124166" guid="be061082-d411-4f47-89f0-1520d0aa8c83"&gt;90&lt;/key&gt;&lt;/foreign-keys&gt;&lt;ref-type name="Book"&gt;6&lt;/ref-type&gt;&lt;contributors&gt;&lt;authors&gt;&lt;author&gt;Mills, Charles W&lt;/author&gt;&lt;/authors&gt;&lt;/contributors&gt;&lt;titles&gt;&lt;title&gt;Global white ignorance&lt;/title&gt;&lt;/titles&gt;&lt;dates&gt;&lt;year&gt;2015&lt;/year&gt;&lt;/dates&gt;&lt;publisher&gt;Routledge Abingdon&lt;/publisher&gt;&lt;urls&gt;&lt;/urls&gt;&lt;/record&gt;&lt;/Cite&gt;&lt;/EndNote&gt;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7" w:tooltip="Mills, 2015 #90" w:history="1">
        <w:r>
          <w:rPr>
            <w:rFonts w:ascii="TimesNewRomanPSMT" w:hAnsi="TimesNewRomanPSMT" w:cs="TimesNewRomanPSMT"/>
            <w:noProof/>
            <w:sz w:val="24"/>
            <w:szCs w:val="24"/>
          </w:rPr>
          <w:t>Charles W Mills, 2015</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&lt;EndNote&gt;&lt;Cite&gt;&lt;Author&gt;Fricker&lt;/Author&gt;&lt;Year&gt;2016&lt;/Year&gt;&lt;RecNum&gt;214&lt;/RecNum&gt;&lt;DisplayText&gt;(Fricker, 2016)&lt;/DisplayText&gt;&lt;record&gt;&lt;rec-number&gt;214&lt;/rec-number&gt;&lt;foreign-keys&gt;&lt;key app="EN" db-id="wtx9x9fxza9rpfetafo5axztvavvdtzzx55d" timestamp="1592840883" guid="fac2f4a7-d643-4e94-a9a1-d816a63f788c"&gt;214&lt;/key&gt;&lt;/foreign-keys&gt;&lt;ref-type name="Journal Article"&gt;17&lt;/ref-type&gt;&lt;contributors&gt;&lt;authors&gt;&lt;author&gt;Fricker, Miranda&lt;/author&gt;&lt;/authors&gt;&lt;/contributors&gt;&lt;titles&gt;&lt;title&gt;Epistemic injustice and the preservation of ignorance&lt;/title&gt;&lt;secondary-title&gt;The epistemic dimensions of ignorance&lt;/secondary-title&gt;&lt;/titles&gt;&lt;periodical&gt;&lt;full-title&gt;The epistemic dimensions of ignorance&lt;/full-title&gt;&lt;/periodical&gt;&lt;pages&gt;160-177&lt;/pages&gt;&lt;dates&gt;&lt;year&gt;2016&lt;/year&gt;&lt;/dates&gt;&lt;urls&gt;&lt;/urls&gt;&lt;/record&gt;&lt;/Cite&gt;&lt;/EndNote&gt;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15" w:tooltip="Fricker, 2016 #214" w:history="1">
        <w:r>
          <w:rPr>
            <w:rFonts w:ascii="TimesNewRomanPSMT" w:hAnsi="TimesNewRomanPSMT" w:cs="TimesNewRomanPSMT"/>
            <w:noProof/>
            <w:sz w:val="24"/>
            <w:szCs w:val="24"/>
          </w:rPr>
          <w:t>Fricker, 2016</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&lt;EndNote&gt;&lt;Cite&gt;&lt;Author&gt;Bailey&lt;/Author&gt;&lt;Year&gt;2017&lt;/Year&gt;&lt;RecNum&gt;276&lt;/RecNum&gt;&lt;DisplayText&gt;(Bailey, 2017)&lt;/DisplayText&gt;&lt;record&gt;&lt;rec-number&gt;276&lt;/rec-number&gt;&lt;foreign-keys&gt;&lt;key app="EN" db-id="wtx9x9fxza9rpfetafo5axztvavvdtzzx55d" timestamp="1596641874" guid="fc68ac08-dfd4-4354-9f4b-df673d3acbbb"&gt;276&lt;/key&gt;&lt;/foreign-keys&gt;&lt;ref-type name="Journal Article"&gt;17&lt;/ref-type&gt;&lt;contributors&gt;&lt;authors&gt;&lt;author&gt;Bailey, Alison&lt;/author&gt;&lt;/authors&gt;&lt;/contributors&gt;&lt;titles&gt;&lt;title&gt;Tracking Privilege</w:instrText>
      </w:r>
      <w:r>
        <w:rPr>
          <w:rFonts w:ascii="Palatino Linotype" w:hAnsi="Palatino Linotype" w:cs="Palatino Linotype"/>
          <w:sz w:val="24"/>
          <w:szCs w:val="24"/>
        </w:rPr>
        <w:instrText>‐</w:instrText>
      </w:r>
      <w:r>
        <w:rPr>
          <w:rFonts w:ascii="TimesNewRomanPSMT" w:hAnsi="TimesNewRomanPSMT" w:cs="TimesNewRomanPSMT"/>
          <w:sz w:val="24"/>
          <w:szCs w:val="24"/>
        </w:rPr>
        <w:instrText>Preserving Epistemic Pushback in Feminist and Critical Race Philosophy Classes&lt;/title&gt;&lt;secondary-title&gt;Hypatia&lt;/secondary-title&gt;&lt;/titles&gt;&lt;periodical&gt;&lt;full-title&gt;Hypatia&lt;/full-title&gt;&lt;/periodical&gt;&lt;pages&gt;876-892&lt;/pages&gt;&lt;volume&gt;32&lt;/volume&gt;&lt;number&gt;4&lt;/number&gt;&lt;dates&gt;&lt;year&gt;2017&lt;/year&gt;&lt;/dates&gt;&lt;isbn&gt;0887-5367&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 w:tooltip="Bailey, 2017 #276" w:history="1">
        <w:r>
          <w:rPr>
            <w:rFonts w:ascii="TimesNewRomanPSMT" w:hAnsi="TimesNewRomanPSMT" w:cs="TimesNewRomanPSMT"/>
            <w:noProof/>
            <w:sz w:val="24"/>
            <w:szCs w:val="24"/>
          </w:rPr>
          <w:t>Bailey, 2017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54" w:tooltip="Woomer, 2019 #175" w:history="1">
        <w:r>
          <w:rPr>
            <w:rFonts w:ascii="TimesNewRomanPSMT" w:hAnsi="TimesNewRomanPSMT" w:cs="TimesNewRomanPSMT"/>
            <w:noProof/>
            <w:sz w:val="24"/>
            <w:szCs w:val="24"/>
          </w:rPr>
          <w:t>Woomer, 2019</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w:t>
      </w:r>
    </w:p>
  </w:footnote>
  <w:footnote w:id="8">
    <w:p w14:paraId="358197FC" w14:textId="77777777" w:rsidR="00EC612A" w:rsidRDefault="00EC612A" w:rsidP="00EC612A">
      <w:pPr>
        <w:pStyle w:val="Footnote"/>
        <w:rPr>
          <w:rFonts w:ascii="TimesNewRomanPSMT" w:hAnsi="TimesNewRomanPSMT" w:cs="TimesNewRomanPSMT"/>
          <w:sz w:val="24"/>
          <w:szCs w:val="24"/>
        </w:rPr>
      </w:pPr>
      <w:r>
        <w:rPr>
          <w:rFonts w:ascii="TimesNewRomanPSMT" w:hAnsi="TimesNewRomanPSMT" w:cs="TimesNewRomanPSMT"/>
          <w:sz w:val="24"/>
          <w:szCs w:val="24"/>
          <w:vertAlign w:val="superscript"/>
        </w:rPr>
        <w:footnoteRef/>
      </w:r>
      <w:r>
        <w:rPr>
          <w:rFonts w:ascii="TimesNewRomanPSMT" w:hAnsi="TimesNewRomanPSMT" w:cs="TimesNewRomanPSMT"/>
          <w:sz w:val="24"/>
          <w:szCs w:val="24"/>
        </w:rPr>
        <w:t xml:space="preserve"> By “white racial domination” I mean, roughly, a state of affairs in which there is a system of racial oppression that arranges racial groups into a hierarchy of social power and access to material benefits, with whites at the top of the hierarchy. I am assuming here that racial injustices are best understood as being structural and systematically linked such as to constitute racial oppression, and more specifically, white racial domination. Although I do not believe much hangs on it in this paper, like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&lt;EndNote&gt;&lt;Cite&gt;&lt;Author&gt;Mills&lt;/Author&gt;&lt;Year&gt;2007&lt;/Year&gt;&lt;RecNum&gt;91&lt;/RecNum&gt;&lt;DisplayText&gt;(C. Mills, 2007)&lt;/DisplayText&gt;&lt;record&gt;&lt;rec-number&gt;91&lt;/rec-number&gt;&lt;foreign-keys&gt;&lt;key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5" w:tooltip="Mills, 2007 #91" w:history="1">
        <w:r>
          <w:rPr>
            <w:rFonts w:ascii="TimesNewRomanPSMT" w:hAnsi="TimesNewRomanPSMT" w:cs="TimesNewRomanPSMT"/>
            <w:noProof/>
            <w:sz w:val="24"/>
            <w:szCs w:val="24"/>
          </w:rPr>
          <w:t>C. Mills,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I favor a social constructivist account of race.</w:t>
      </w:r>
    </w:p>
  </w:footnote>
  <w:footnote w:id="9">
    <w:p w14:paraId="47B068E0" w14:textId="77777777" w:rsidR="00EC612A" w:rsidRDefault="00EC612A">
      <w:pPr>
        <w:pStyle w:val="Footnote"/>
        <w:rPr>
          <w:rFonts w:ascii="TimesNewRomanPSMT" w:hAnsi="TimesNewRomanPSMT" w:cs="TimesNewRomanPSMT"/>
          <w:sz w:val="24"/>
          <w:szCs w:val="24"/>
        </w:rPr>
      </w:pPr>
      <w:r>
        <w:rPr>
          <w:rFonts w:ascii="TimesNewRomanPSMT" w:hAnsi="TimesNewRomanPSMT" w:cs="TimesNewRomanPSMT"/>
          <w:sz w:val="24"/>
          <w:szCs w:val="24"/>
          <w:vertAlign w:val="superscript"/>
        </w:rPr>
        <w:footnoteRef/>
      </w:r>
      <w:r>
        <w:rPr>
          <w:rFonts w:ascii="TimesNewRomanPSMT" w:hAnsi="TimesNewRomanPSMT" w:cs="TimesNewRomanPSMT"/>
          <w:sz w:val="24"/>
          <w:szCs w:val="24"/>
        </w:rPr>
        <w:t xml:space="preserve"> The literature largely consists of very brief characterizations of white ignorance in the context of discussing some related topic.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&lt;EndNote&gt;&lt;Cite&gt;&lt;Author&gt;Alcoff&lt;/Author&gt;&lt;Year&gt;2007&lt;/Year&gt;&lt;RecNum&gt;224&lt;/RecNum&gt;&lt;DisplayText&gt;(Alcoff, 2007)&lt;/DisplayText&gt;&lt;record&gt;&lt;rec-number&gt;224&lt;/rec-number&gt;&lt;foreign-keys&gt;&lt;key app="EN" db-id="wtx9x9fxza9rpfetafo5axztvavvdtzzx55d" timestamp="1592840920" guid="6c013b0f-717a-4c3b-9fc0-7b14ce900719"&gt;224&lt;/key&gt;&lt;/foreign-keys&gt;&lt;ref-type name="Journal Article"&gt;17&lt;/ref-type&gt;&lt;contributors&gt;&lt;authors&gt;&lt;author&gt;Alcoff, Linda Martín&lt;/author&gt;&lt;/authors&gt;&lt;/contributors&gt;&lt;titles&gt;&lt;title&gt;Epistemologies of ignorance: Three types&lt;/title&gt;&lt;/titles&gt;&lt;dates&gt;&lt;year&gt;2007&lt;/year&gt;&lt;/dates&gt;&lt;urls&gt;&lt;/urls&gt;&lt;/record&gt;&lt;/Cite&gt;&lt;/EndNote&gt;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2" w:tooltip="Alcoff, 2007 #224" w:history="1">
        <w:r>
          <w:rPr>
            <w:rFonts w:ascii="TimesNewRomanPSMT" w:hAnsi="TimesNewRomanPSMT" w:cs="TimesNewRomanPSMT"/>
            <w:noProof/>
            <w:sz w:val="24"/>
            <w:szCs w:val="24"/>
          </w:rPr>
          <w:t>Alcoff,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&lt;EndNote&gt;&lt;Cite&gt;&lt;Author&gt;Spelman&lt;/Author&gt;&lt;Year&gt;2007&lt;/Year&gt;&lt;RecNum&gt;196&lt;/RecNum&gt;&lt;DisplayText&gt;(Spelman, 2007)&lt;/DisplayText&gt;&lt;record&gt;&lt;rec-number&gt;196&lt;/rec-number&gt;&lt;foreign-keys&gt;&lt;key app="EN" db-id="wtx9x9fxza9rpfetafo5axztvavvdtzzx55d" timestamp="1592840813" guid="27532296-f06c-4197-8c4c-68a46ce55065"&gt;196&lt;/key&gt;&lt;/foreign-keys&gt;&lt;ref-type name="Journal Article"&gt;17&lt;/ref-type&gt;&lt;contributors&gt;&lt;authors&gt;&lt;author&gt;Spelman, Elizabeth&lt;/author&gt;&lt;/authors&gt;&lt;/contributors&gt;&lt;titles&gt;&lt;title&gt;Managing ignorance&lt;/title&gt;&lt;secondary-title&gt;Race and epistemologies of ignorance&lt;/secondary-title&gt;&lt;/titles&gt;&lt;periodical&gt;&lt;full-title&gt;Race and epistemologies of ignorance&lt;/full-title&gt;&lt;/periodical&gt;&lt;pages&gt;119-131&lt;/pages&gt;&lt;dates&gt;&lt;year&gt;2007&lt;/year&gt;&lt;/dates&gt;&lt;urls&gt;&lt;/urls&gt;&lt;/record&gt;&lt;/Cite&gt;&lt;/EndNote&gt;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50" w:tooltip="Spelman, 2007 #196" w:history="1">
        <w:r>
          <w:rPr>
            <w:rFonts w:ascii="TimesNewRomanPSMT" w:hAnsi="TimesNewRomanPSMT" w:cs="TimesNewRomanPSMT"/>
            <w:noProof/>
            <w:sz w:val="24"/>
            <w:szCs w:val="24"/>
          </w:rPr>
          <w:t>Spelman, 2007</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34" w:tooltip="Medina, 2013 #174" w:history="1">
        <w:r>
          <w:rPr>
            <w:rFonts w:ascii="TimesNewRomanPSMT" w:hAnsi="TimesNewRomanPSMT" w:cs="TimesNewRomanPSMT"/>
            <w:noProof/>
            <w:sz w:val="24"/>
            <w:szCs w:val="24"/>
          </w:rPr>
          <w:t>Medina, 2013</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&lt;EndNote&gt;&lt;Cite&gt;&lt;Author&gt;Fricker&lt;/Author&gt;&lt;Year&gt;2016&lt;/Year&gt;&lt;RecNum&gt;214&lt;/RecNum&gt;&lt;DisplayText&gt;(Fricker, 2016)&lt;/DisplayText&gt;&lt;record&gt;&lt;rec-number&gt;214&lt;/rec-number&gt;&lt;foreign-keys&gt;&lt;key app="EN" db-id="wtx9x9fxza9rpfetafo5axztvavvdtzzx55d" timestamp="1592840883" guid="fac2f4a7-d643-4e94-a9a1-d816a63f788c"&gt;214&lt;/key&gt;&lt;/foreign-keys&gt;&lt;ref-type name="Journal Article"&gt;17&lt;/ref-type&gt;&lt;contributors&gt;&lt;authors&gt;&lt;author&gt;Fricker, Miranda&lt;/author&gt;&lt;/authors&gt;&lt;/contributors&gt;&lt;titles&gt;&lt;title&gt;Epistemic injustice and the preservation of ignorance&lt;/title&gt;&lt;secondary-title&gt;The epistemic dimensions of ignorance&lt;/secondary-title&gt;&lt;/titles&gt;&lt;periodical&gt;&lt;full-title&gt;The epistemic dimensions of ignorance&lt;/full-title&gt;&lt;/periodical&gt;&lt;pages&gt;160-177&lt;/pages&gt;&lt;dates&gt;&lt;year&gt;2016&lt;/year&gt;&lt;/dates&gt;&lt;urls&gt;&lt;/urls&gt;&lt;/record&gt;&lt;/Cite&gt;&lt;/EndNote&gt;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15" w:tooltip="Fricker, 2016 #214" w:history="1">
        <w:r>
          <w:rPr>
            <w:rFonts w:ascii="TimesNewRomanPSMT" w:hAnsi="TimesNewRomanPSMT" w:cs="TimesNewRomanPSMT"/>
            <w:noProof/>
            <w:sz w:val="24"/>
            <w:szCs w:val="24"/>
          </w:rPr>
          <w:t>Fricker, 2016</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54" w:tooltip="Woomer, 2019 #175" w:history="1">
        <w:r>
          <w:rPr>
            <w:rFonts w:ascii="TimesNewRomanPSMT" w:hAnsi="TimesNewRomanPSMT" w:cs="TimesNewRomanPSMT"/>
            <w:noProof/>
            <w:sz w:val="24"/>
            <w:szCs w:val="24"/>
          </w:rPr>
          <w:t>Woomer, 2019</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p>
  </w:footnote>
  <w:footnote w:id="10">
    <w:p w14:paraId="55B43A68" w14:textId="77777777" w:rsidR="00EC612A" w:rsidRDefault="00EC612A" w:rsidP="00EC612A">
      <w:pPr>
        <w:pStyle w:val="Footnote"/>
      </w:pPr>
      <w:r w:rsidRPr="00EC612A">
        <w:footnoteRef/>
      </w:r>
      <w:r w:rsidRPr="00EC612A">
        <w:t xml:space="preserve"> As such, the project bears an important resemblance to ameliorative analyses. The key difference is that an ameliorative analysis begins with some concept that already plays an</w:t>
      </w:r>
      <w:r>
        <w:t xml:space="preserve"> important role in our thinking. See </w:t>
      </w:r>
      <w:r>
        <w:fldChar w:fldCharType="begin">
          <w:fldData xml:space="preserve">PEVuZE5vdGU+PENpdGU+PEF1dGhvcj5IYXNsYW5nZXI8L0F1dGhvcj48WWVhcj4yMDAwPC9ZZWFy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</w:fldData>
        </w:fldChar>
      </w:r>
      <w:r>
        <w:instrText xml:space="preserve"> ADDIN EN.CITE </w:instrText>
      </w:r>
      <w:r>
        <w:fldChar w:fldCharType="begin">
          <w:fldData xml:space="preserve">PEVuZE5vdGU+PENpdGU+PEF1dGhvcj5IYXNsYW5nZXI8L0F1dGhvcj48WWVhcj4yMDAwPC9ZZWFy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</w:fldData>
        </w:fldChar>
      </w:r>
      <w:r>
        <w:instrText xml:space="preserve"> ADDIN EN.CITE.DATA </w:instrText>
      </w:r>
      <w:r>
        <w:fldChar w:fldCharType="end"/>
      </w:r>
      <w:r>
        <w:fldChar w:fldCharType="separate"/>
      </w:r>
      <w:r>
        <w:rPr>
          <w:noProof/>
        </w:rPr>
        <w:t>(</w:t>
      </w:r>
      <w:hyperlink w:anchor="_ENREF_20" w:tooltip="Haslanger, 2000 #221" w:history="1">
        <w:r>
          <w:rPr>
            <w:noProof/>
          </w:rPr>
          <w:t>Haslanger, 2000</w:t>
        </w:r>
      </w:hyperlink>
      <w:r>
        <w:rPr>
          <w:noProof/>
        </w:rPr>
        <w:t xml:space="preserve">, </w:t>
      </w:r>
      <w:hyperlink w:anchor="_ENREF_21" w:tooltip="Haslanger, 2005 #222" w:history="1">
        <w:r>
          <w:rPr>
            <w:noProof/>
          </w:rPr>
          <w:t>2005</w:t>
        </w:r>
      </w:hyperlink>
      <w:r>
        <w:rPr>
          <w:noProof/>
        </w:rPr>
        <w:t xml:space="preserve">, </w:t>
      </w:r>
      <w:hyperlink w:anchor="_ENREF_24" w:tooltip="Haslanger, 2012 #85" w:history="1">
        <w:r>
          <w:rPr>
            <w:noProof/>
          </w:rPr>
          <w:t>2012</w:t>
        </w:r>
      </w:hyperlink>
      <w:r>
        <w:rPr>
          <w:noProof/>
        </w:rPr>
        <w:t>)</w:t>
      </w:r>
      <w:r>
        <w:fldChar w:fldCharType="end"/>
      </w:r>
      <w:r>
        <w:t xml:space="preserve">, </w:t>
      </w:r>
      <w:r>
        <w:fldChar w:fldCharType="begin"/>
      </w:r>
      <w:r>
        <w:instrText xml:space="preserve"> ADDIN EN.CITE &lt;EndNote&gt;&lt;Cite&gt;&lt;Author&gt;Manne&lt;/Author&gt;&lt;Year&gt;2017&lt;/Year&gt;&lt;RecNum&gt;206&lt;/RecNum&gt;&lt;DisplayText&gt;(Manne, 2017)&lt;/DisplayText&gt;&lt;record&gt;&lt;rec-number&gt;206&lt;/rec-number&gt;&lt;foreign-keys&gt;&lt;key app="EN" db-id="wtx9x9fxza9rpfetafo5axztvavvdtzzx55d" timestamp="1592840850" guid="0b25bde1-9173-42b7-8866-3336ad71084a"&gt;206&lt;/key&gt;&lt;/foreign-keys&gt;&lt;ref-type name="Book"&gt;6&lt;/ref-type&gt;&lt;contributors&gt;&lt;authors&gt;&lt;author&gt;Manne, Kate&lt;/author&gt;&lt;/authors&gt;&lt;/contributors&gt;&lt;titles&gt;&lt;title&gt;Down girl: The logic of misogyny&lt;/title&gt;&lt;/titles&gt;&lt;dates&gt;&lt;year&gt;2017&lt;/year&gt;&lt;/dates&gt;&lt;publisher&gt;Oxford University Press&lt;/publisher&gt;&lt;isbn&gt;0190604999&lt;/isbn&gt;&lt;urls&gt;&lt;/urls&gt;&lt;/record&gt;&lt;/Cite&gt;&lt;/EndNote&gt;</w:instrText>
      </w:r>
      <w:r>
        <w:fldChar w:fldCharType="separate"/>
      </w:r>
      <w:r>
        <w:rPr>
          <w:noProof/>
        </w:rPr>
        <w:t>(</w:t>
      </w:r>
      <w:hyperlink w:anchor="_ENREF_33" w:tooltip="Manne, 2017 #206" w:history="1">
        <w:r>
          <w:rPr>
            <w:noProof/>
          </w:rPr>
          <w:t>Manne, 2017</w:t>
        </w:r>
      </w:hyperlink>
      <w:r>
        <w:rPr>
          <w:noProof/>
        </w:rPr>
        <w:t>)</w:t>
      </w:r>
      <w:r>
        <w:fldChar w:fldCharType="end"/>
      </w:r>
      <w:r>
        <w:t>.</w:t>
      </w:r>
    </w:p>
  </w:footnote>
  <w:footnote w:id="11">
    <w:p w14:paraId="7E318A3C" w14:textId="77777777" w:rsidR="00EC612A" w:rsidRDefault="00EC612A" w:rsidP="00EC612A">
      <w:pPr>
        <w:pStyle w:val="Footnote"/>
      </w:pPr>
      <w:r>
        <w:rPr>
          <w:vertAlign w:val="superscript"/>
        </w:rPr>
        <w:footnoteRef/>
      </w:r>
      <w:r>
        <w:t xml:space="preserve"> Thanks to an anonymous reviewer for emphasizing this point.</w:t>
      </w:r>
    </w:p>
  </w:footnote>
  <w:footnote w:id="12">
    <w:p w14:paraId="4D911390"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&lt;EndNote&gt;&lt;Cite&gt;&lt;Author&gt;Friedman&lt;/Author&gt;&lt;Year&gt;2013&lt;/Year&gt;&lt;RecNum&gt;215&lt;/RecNum&gt;&lt;DisplayText&gt;(Friedman, 2013)&lt;/DisplayText&gt;&lt;record&gt;&lt;rec-number&gt;215&lt;/rec-number&gt;&lt;foreign-keys&gt;&lt;key app="EN" db-id="wtx9x9fxza9rpfetafo5axztvavvdtzzx55d" timestamp="1592840883" guid="4b2e9f3b-5dff-4cb9-8e7a-ae21dbcf02ec"&gt;215&lt;/key&gt;&lt;/foreign-keys&gt;&lt;ref-type name="Journal Article"&gt;17&lt;/ref-type&gt;&lt;contributors&gt;&lt;authors&gt;&lt;author&gt;Friedman, Jane&lt;/author&gt;&lt;/authors&gt;&lt;/contributors&gt;&lt;titles&gt;&lt;title&gt;Suspended judgment&lt;/title&gt;&lt;secondary-title&gt;Philosophical studies&lt;/secondary-title&gt;&lt;/titles&gt;&lt;periodical&gt;&lt;full-title&gt;Philosophical Studies&lt;/full-title&gt;&lt;/periodical&gt;&lt;pages&gt;165-181&lt;/pages&gt;&lt;volume&gt;162&lt;/volume&gt;&lt;number&gt;2&lt;/number&gt;&lt;dates&gt;&lt;year&gt;2013&lt;/year&gt;&lt;/dates&gt;&lt;isbn&gt;0031-8116&lt;/isbn&gt;&lt;urls&gt;&lt;/urls&gt;&lt;/record&gt;&lt;/Cite&gt;&lt;/EndNote&gt;</w:instrText>
      </w:r>
      <w:r>
        <w:fldChar w:fldCharType="separate"/>
      </w:r>
      <w:r>
        <w:rPr>
          <w:noProof/>
        </w:rPr>
        <w:t>(</w:t>
      </w:r>
      <w:hyperlink w:anchor="_ENREF_16" w:tooltip="Friedman, 2013 #215" w:history="1">
        <w:r>
          <w:rPr>
            <w:noProof/>
          </w:rPr>
          <w:t>Friedman, 2013</w:t>
        </w:r>
      </w:hyperlink>
      <w:r>
        <w:rPr>
          <w:noProof/>
        </w:rPr>
        <w:t>)</w:t>
      </w:r>
      <w:r>
        <w:fldChar w:fldCharType="end"/>
      </w:r>
    </w:p>
  </w:footnote>
  <w:footnote w:id="13">
    <w:p w14:paraId="51A84737" w14:textId="77777777" w:rsidR="00EC612A" w:rsidRDefault="00EC612A" w:rsidP="00EC612A">
      <w:pPr>
        <w:pStyle w:val="Footnote"/>
      </w:pPr>
      <w:r>
        <w:rPr>
          <w:vertAlign w:val="superscript"/>
        </w:rPr>
        <w:footnoteRef/>
      </w:r>
      <w:r>
        <w:t xml:space="preserve"> Redlining refers to discriminatory lending practices. </w:t>
      </w:r>
      <w:r>
        <w:fldChar w:fldCharType="begin"/>
      </w:r>
      <w:r>
        <w:instrText xml:space="preserve"> ADDIN EN.CITE &lt;EndNote&gt;&lt;Cite&gt;&lt;Author&gt;Coates&lt;/Author&gt;&lt;Year&gt;2014&lt;/Year&gt;&lt;RecNum&gt;230&lt;/RecNum&gt;&lt;DisplayText&gt;(Coates, 2014)&lt;/DisplayText&gt;&lt;record&gt;&lt;rec-number&gt;230&lt;/rec-number&gt;&lt;foreign-keys&gt;&lt;key app="EN" db-id="wtx9x9fxza9rpfetafo5axztvavvdtzzx55d" timestamp="1592840920" guid="db4c09d3-c9fe-4c42-b558-541d0ddee6fc"&gt;230&lt;/key&gt;&lt;/foreign-keys&gt;&lt;ref-type name="Journal Article"&gt;17&lt;/ref-type&gt;&lt;contributors&gt;&lt;authors&gt;&lt;author&gt;Coates, Ta-Nehisi&lt;/author&gt;&lt;/authors&gt;&lt;/contributors&gt;&lt;titles&gt;&lt;title&gt;The case for reparations&lt;/title&gt;&lt;secondary-title&gt;The Atlantic&lt;/secondary-title&gt;&lt;/titles&gt;&lt;periodical&gt;&lt;full-title&gt;The Atlantic&lt;/full-title&gt;&lt;/periodical&gt;&lt;pages&gt;54-71&lt;/pages&gt;&lt;volume&gt;313&lt;/volume&gt;&lt;number&gt;5&lt;/number&gt;&lt;dates&gt;&lt;year&gt;2014&lt;/year&gt;&lt;/dates&gt;&lt;urls&gt;&lt;/urls&gt;&lt;/record&gt;&lt;/Cite&gt;&lt;/EndNote&gt;</w:instrText>
      </w:r>
      <w:r>
        <w:fldChar w:fldCharType="separate"/>
      </w:r>
      <w:r>
        <w:rPr>
          <w:noProof/>
        </w:rPr>
        <w:t>(</w:t>
      </w:r>
      <w:hyperlink w:anchor="_ENREF_8" w:tooltip="Coates, 2014 #230" w:history="1">
        <w:r>
          <w:rPr>
            <w:noProof/>
          </w:rPr>
          <w:t>Coates, 2014</w:t>
        </w:r>
      </w:hyperlink>
      <w:r>
        <w:rPr>
          <w:noProof/>
        </w:rPr>
        <w:t>)</w:t>
      </w:r>
      <w:r>
        <w:fldChar w:fldCharType="end"/>
      </w:r>
      <w:r>
        <w:t xml:space="preserve">, </w:t>
      </w:r>
      <w:r>
        <w:fldChar w:fldCharType="begin"/>
      </w:r>
      <w:r>
        <w:instrText xml:space="preserve"> ADDIN EN.CITE &lt;EndNote&gt;&lt;Cite&gt;&lt;Author&gt;Rothstein&lt;/Author&gt;&lt;Year&gt;2017&lt;/Year&gt;&lt;RecNum&gt;194&lt;/RecNum&gt;&lt;DisplayText&gt;(Rothstein, 2017)&lt;/DisplayText&gt;&lt;record&gt;&lt;rec-number&gt;194&lt;/rec-number&gt;&lt;foreign-keys&gt;&lt;key app="EN" db-id="wtx9x9fxza9rpfetafo5axztvavvdtzzx55d" timestamp="1592840813" guid="d447c02b-12e5-4f01-9fe5-111efc72b19f"&gt;194&lt;/key&gt;&lt;/foreign-keys&gt;&lt;ref-type name="Book"&gt;6&lt;/ref-type&gt;&lt;contributors&gt;&lt;authors&gt;&lt;author&gt;Rothstein, Richard&lt;/author&gt;&lt;/authors&gt;&lt;/contributors&gt;&lt;titles&gt;&lt;title&gt;The color of law: A forgotten history of how our government segregated America&lt;/title&gt;&lt;/titles&gt;&lt;dates&gt;&lt;year&gt;2017&lt;/year&gt;&lt;/dates&gt;&lt;publisher&gt;Liveright Publishing&lt;/publisher&gt;&lt;isbn&gt;1631492861&lt;/isbn&gt;&lt;urls&gt;&lt;/urls&gt;&lt;/record&gt;&lt;/Cite&gt;&lt;/EndNote&gt;</w:instrText>
      </w:r>
      <w:r>
        <w:fldChar w:fldCharType="separate"/>
      </w:r>
      <w:r>
        <w:rPr>
          <w:noProof/>
        </w:rPr>
        <w:t>(</w:t>
      </w:r>
      <w:hyperlink w:anchor="_ENREF_45" w:tooltip="Rothstein, 2017 #194" w:history="1">
        <w:r>
          <w:rPr>
            <w:noProof/>
          </w:rPr>
          <w:t>Rothstein, 2017</w:t>
        </w:r>
      </w:hyperlink>
      <w:r>
        <w:rPr>
          <w:noProof/>
        </w:rPr>
        <w:t>)</w:t>
      </w:r>
      <w:r>
        <w:fldChar w:fldCharType="end"/>
      </w:r>
      <w:r>
        <w:t>.</w:t>
      </w:r>
    </w:p>
  </w:footnote>
  <w:footnote w:id="14">
    <w:p w14:paraId="3FC0E2E5"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&lt;EndNote&gt;&lt;Cite&gt;&lt;Author&gt;Alcoff&lt;/Author&gt;&lt;Year&gt;2007&lt;/Year&gt;&lt;RecNum&gt;224&lt;/RecNum&gt;&lt;DisplayText&gt;(Alcoff, 2007)&lt;/DisplayText&gt;&lt;record&gt;&lt;rec-number&gt;224&lt;/rec-number&gt;&lt;foreign-keys&gt;&lt;key app="EN" db-id="wtx9x9fxza9rpfetafo5axztvavvdtzzx55d" timestamp="1592840920" guid="6c013b0f-717a-4c3b-9fc0-7b14ce900719"&gt;224&lt;/key&gt;&lt;/foreign-keys&gt;&lt;ref-type name="Journal Article"&gt;17&lt;/ref-type&gt;&lt;contributors&gt;&lt;authors&gt;&lt;author&gt;Alcoff, Linda Martín&lt;/author&gt;&lt;/authors&gt;&lt;/contributors&gt;&lt;titles&gt;&lt;title&gt;Epistemologies of ignorance: Three types&lt;/title&gt;&lt;/titles&gt;&lt;dates&gt;&lt;year&gt;2007&lt;/year&gt;&lt;/dates&gt;&lt;urls&gt;&lt;/urls&gt;&lt;/record&gt;&lt;/Cite&gt;&lt;/EndNote&gt;</w:instrText>
      </w:r>
      <w:r>
        <w:fldChar w:fldCharType="separate"/>
      </w:r>
      <w:r>
        <w:rPr>
          <w:noProof/>
        </w:rPr>
        <w:t>(</w:t>
      </w:r>
      <w:hyperlink w:anchor="_ENREF_2" w:tooltip="Alcoff, 2007 #224" w:history="1">
        <w:r>
          <w:rPr>
            <w:noProof/>
          </w:rPr>
          <w:t>Alcoff, 2007</w:t>
        </w:r>
      </w:hyperlink>
      <w:r>
        <w:rPr>
          <w:noProof/>
        </w:rPr>
        <w:t>)</w:t>
      </w:r>
      <w:r>
        <w:fldChar w:fldCharType="end"/>
      </w:r>
      <w:r>
        <w:t xml:space="preserve">, </w:t>
      </w:r>
      <w:r>
        <w:fldChar w:fldCharType="begin"/>
      </w:r>
      <w:r>
        <w:instrText xml:space="preserve"> ADDIN EN.CITE &lt;EndNote&gt;&lt;Cite&gt;&lt;Author&gt;Mills&lt;/Author&gt;&lt;Year&gt;2007&lt;/Year&gt;&lt;RecNum&gt;91&lt;/RecNum&gt;&lt;Pages&gt;13&lt;/Pages&gt;&lt;DisplayText&gt;(C. Mills, 2007, p. 13)&lt;/DisplayText&gt;&lt;record&gt;&lt;rec-number&gt;91&lt;/rec-number&gt;&lt;foreign-keys&gt;&lt;key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fldChar w:fldCharType="separate"/>
      </w:r>
      <w:r>
        <w:rPr>
          <w:noProof/>
        </w:rPr>
        <w:t>(</w:t>
      </w:r>
      <w:hyperlink w:anchor="_ENREF_35" w:tooltip="Mills, 2007 #91" w:history="1">
        <w:r>
          <w:rPr>
            <w:noProof/>
          </w:rPr>
          <w:t>C. Mills, 2007, p. 13</w:t>
        </w:r>
      </w:hyperlink>
      <w:r>
        <w:rPr>
          <w:noProof/>
        </w:rPr>
        <w:t>)</w:t>
      </w:r>
      <w:r>
        <w:fldChar w:fldCharType="end"/>
      </w:r>
      <w:r>
        <w:t xml:space="preserve">, </w:t>
      </w:r>
      <w:r>
        <w:fldChar w:fldCharType="begin"/>
      </w:r>
      <w: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fldChar w:fldCharType="separate"/>
      </w:r>
      <w:r>
        <w:rPr>
          <w:noProof/>
        </w:rPr>
        <w:t>(</w:t>
      </w:r>
      <w:hyperlink w:anchor="_ENREF_34" w:tooltip="Medina, 2013 #174" w:history="1">
        <w:r>
          <w:rPr>
            <w:noProof/>
          </w:rPr>
          <w:t>Medina, 2013</w:t>
        </w:r>
      </w:hyperlink>
      <w:r>
        <w:rPr>
          <w:noProof/>
        </w:rPr>
        <w:t>)</w:t>
      </w:r>
      <w:r>
        <w:fldChar w:fldCharType="end"/>
      </w:r>
      <w:r>
        <w:t xml:space="preserve">, </w:t>
      </w:r>
      <w:r>
        <w:fldChar w:fldCharType="begin"/>
      </w:r>
      <w:r>
        <w:instrText xml:space="preserve"> ADDIN EN.CITE &lt;EndNote&gt;&lt;Cite&gt;&lt;Author&gt;Woomer&lt;/Author&gt;&lt;Year&gt;2019&lt;/Year&gt;&lt;RecNum&gt;175&lt;/RecNum&gt;&lt;Pages&gt;1-2&lt;/Pages&gt;&lt;DisplayText&gt;(Woomer, 2019, pp. 1-2)&lt;/DisplayText&gt;&lt;record&gt;&lt;rec-number&gt;175&lt;/rec-number&gt;&lt;foreign-keys&gt;&lt;key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 pp. 1-2</w:t>
        </w:r>
      </w:hyperlink>
      <w:r>
        <w:rPr>
          <w:noProof/>
        </w:rPr>
        <w:t>)</w:t>
      </w:r>
      <w:r>
        <w:fldChar w:fldCharType="end"/>
      </w:r>
      <w:r>
        <w:t>.</w:t>
      </w:r>
    </w:p>
  </w:footnote>
  <w:footnote w:id="15">
    <w:p w14:paraId="65CD43D4" w14:textId="77777777" w:rsidR="00EC612A" w:rsidRDefault="00EC612A" w:rsidP="00EC612A">
      <w:pPr>
        <w:pStyle w:val="Footnote"/>
      </w:pPr>
      <w:r>
        <w:rPr>
          <w:vertAlign w:val="superscript"/>
        </w:rPr>
        <w:footnoteRef/>
      </w:r>
      <w:r>
        <w:t xml:space="preserve"> This view is most clearly articulated in </w:t>
      </w:r>
      <w:r>
        <w:fldChar w:fldCharType="begin"/>
      </w:r>
      <w:r>
        <w:instrText xml:space="preserve"> ADDIN EN.CITE &lt;EndNote&gt;&lt;Cite&gt;&lt;Author&gt;Spelman&lt;/Author&gt;&lt;Year&gt;2007&lt;/Year&gt;&lt;RecNum&gt;196&lt;/RecNum&gt;&lt;DisplayText&gt;(Spelman, 2007)&lt;/DisplayText&gt;&lt;record&gt;&lt;rec-number&gt;196&lt;/rec-number&gt;&lt;foreign-keys&gt;&lt;key app="EN" db-id="wtx9x9fxza9rpfetafo5axztvavvdtzzx55d" timestamp="1592840813" guid="27532296-f06c-4197-8c4c-68a46ce55065"&gt;196&lt;/key&gt;&lt;/foreign-keys&gt;&lt;ref-type name="Journal Article"&gt;17&lt;/ref-type&gt;&lt;contributors&gt;&lt;authors&gt;&lt;author&gt;Spelman, Elizabeth&lt;/author&gt;&lt;/authors&gt;&lt;/contributors&gt;&lt;titles&gt;&lt;title&gt;Managing ignorance&lt;/title&gt;&lt;secondary-title&gt;Race and epistemologies of ignorance&lt;/secondary-title&gt;&lt;/titles&gt;&lt;periodical&gt;&lt;full-title&gt;Race and epistemologies of ignorance&lt;/full-title&gt;&lt;/periodical&gt;&lt;pages&gt;119-131&lt;/pages&gt;&lt;dates&gt;&lt;year&gt;2007&lt;/year&gt;&lt;/dates&gt;&lt;urls&gt;&lt;/urls&gt;&lt;/record&gt;&lt;/Cite&gt;&lt;/EndNote&gt;</w:instrText>
      </w:r>
      <w:r>
        <w:fldChar w:fldCharType="separate"/>
      </w:r>
      <w:r>
        <w:rPr>
          <w:noProof/>
        </w:rPr>
        <w:t>(</w:t>
      </w:r>
      <w:hyperlink w:anchor="_ENREF_50" w:tooltip="Spelman, 2007 #196" w:history="1">
        <w:r>
          <w:rPr>
            <w:noProof/>
          </w:rPr>
          <w:t>Spelman, 2007</w:t>
        </w:r>
      </w:hyperlink>
      <w:r>
        <w:rPr>
          <w:noProof/>
        </w:rPr>
        <w:t>)</w:t>
      </w:r>
      <w:r>
        <w:fldChar w:fldCharType="end"/>
      </w:r>
      <w:r>
        <w:t xml:space="preserve">, Medina (2013), </w:t>
      </w:r>
      <w:r>
        <w:fldChar w:fldCharType="begin"/>
      </w:r>
      <w:r>
        <w:instrText xml:space="preserve"> ADDIN EN.CITE &lt;EndNote&gt;&lt;Cite&gt;&lt;Author&gt;Bailey&lt;/Author&gt;&lt;Year&gt;2017&lt;/Year&gt;&lt;RecNum&gt;276&lt;/RecNum&gt;&lt;DisplayText&gt;(Bailey, 2017)&lt;/DisplayText&gt;&lt;record&gt;&lt;rec-number&gt;276&lt;/rec-number&gt;&lt;foreign-keys&gt;&lt;key app="EN" db-id="wtx9x9fxza9rpfetafo5axztvavvdtzzx55d" timestamp="1596641874" guid="fc68ac08-dfd4-4354-9f4b-df673d3acbbb"&gt;276&lt;/key&gt;&lt;/foreign-keys&gt;&lt;ref-type name="Journal Article"&gt;17&lt;/ref-type&gt;&lt;contributors&gt;&lt;authors&gt;&lt;author&gt;Bailey, Alison&lt;/author&gt;&lt;/authors&gt;&lt;/contributors&gt;&lt;titles&gt;&lt;title&gt;Tracking Privilege</w:instrText>
      </w:r>
      <w:r>
        <w:rPr>
          <w:rFonts w:ascii="Palatino Linotype" w:hAnsi="Palatino Linotype" w:cs="Palatino Linotype"/>
        </w:rPr>
        <w:instrText>‐</w:instrText>
      </w:r>
      <w:r>
        <w:instrText>Preserving Epistemic Pushback in Feminist and Critical Race Philosophy Classes&lt;/title&gt;&lt;secondary-title&gt;Hypatia&lt;/secondary-title&gt;&lt;/titles&gt;&lt;periodical&gt;&lt;full-title&gt;Hypatia&lt;/full-title&gt;&lt;/periodical&gt;&lt;pages&gt;876-892&lt;/pages&gt;&lt;volume&gt;32&lt;/volume&gt;&lt;number&gt;4&lt;/number&gt;&lt;dates&gt;&lt;year&gt;2017&lt;/year&gt;&lt;/dates&gt;&lt;isbn&gt;0887-5367&lt;/isbn&gt;&lt;urls&gt;&lt;/urls&gt;&lt;/record&gt;&lt;/Cite&gt;&lt;/EndNote&gt;</w:instrText>
      </w:r>
      <w:r>
        <w:fldChar w:fldCharType="separate"/>
      </w:r>
      <w:r>
        <w:rPr>
          <w:noProof/>
        </w:rPr>
        <w:t>(</w:t>
      </w:r>
      <w:hyperlink w:anchor="_ENREF_3" w:tooltip="Bailey, 2017 #276" w:history="1">
        <w:r>
          <w:rPr>
            <w:noProof/>
          </w:rPr>
          <w:t>Bailey, 2017</w:t>
        </w:r>
      </w:hyperlink>
      <w:r>
        <w:rPr>
          <w:noProof/>
        </w:rPr>
        <w:t>)</w:t>
      </w:r>
      <w:r>
        <w:fldChar w:fldCharType="end"/>
      </w:r>
      <w:r>
        <w:t xml:space="preserve">, </w:t>
      </w:r>
      <w:r>
        <w:fldChar w:fldCharType="begin"/>
      </w:r>
      <w: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w:t>
        </w:r>
      </w:hyperlink>
      <w:r>
        <w:rPr>
          <w:noProof/>
        </w:rPr>
        <w:t>)</w:t>
      </w:r>
      <w:r>
        <w:fldChar w:fldCharType="end"/>
      </w:r>
      <w:r>
        <w:t xml:space="preserve">. This line of thought is also found in </w:t>
      </w:r>
      <w:r>
        <w:fldChar w:fldCharType="begin"/>
      </w:r>
      <w:r>
        <w:instrText xml:space="preserve"> ADDIN EN.CITE &lt;EndNote&gt;&lt;Cite&gt;&lt;Author&gt;Mills&lt;/Author&gt;&lt;Year&gt;1999&lt;/Year&gt;&lt;RecNum&gt;277&lt;/RecNum&gt;&lt;DisplayText&gt;(Charles W. Mills, 1999)&lt;/DisplayText&gt;&lt;record&gt;&lt;rec-number&gt;277&lt;/rec-number&gt;&lt;foreign-keys&gt;&lt;key app="EN" db-id="wtx9x9fxza9rpfetafo5axztvavvdtzzx55d" timestamp="1596750519" guid="28acbcd2-abc6-4d03-b0cc-8c94aad799e4"&gt;277&lt;/key&gt;&lt;/foreign-keys&gt;&lt;ref-type name="Book"&gt;6&lt;/ref-type&gt;&lt;contributors&gt;&lt;authors&gt;&lt;author&gt;Mills, Charles W.&lt;/author&gt;&lt;/authors&gt;&lt;/contributors&gt;&lt;titles&gt;&lt;title&gt;The Racial Contract&lt;/title&gt;&lt;/titles&gt;&lt;keywords&gt;&lt;keyword&gt;Race relations.&lt;/keyword&gt;&lt;keyword&gt;Racism.&lt;/keyword&gt;&lt;keyword&gt;Social contract.&lt;/keyword&gt;&lt;keyword&gt;White supremacy movements.&lt;/keyword&gt;&lt;keyword&gt;Political science -- Philosophy.&lt;/keyword&gt;&lt;/keywords&gt;&lt;dates&gt;&lt;year&gt;1999&lt;/year&gt;&lt;/dates&gt;&lt;pub-location&gt;Ithaca, UNITED STATES&lt;/pub-location&gt;&lt;publisher&gt;Cornell University Press&lt;/publisher&gt;&lt;isbn&gt;9780801471353&lt;/isbn&gt;&lt;urls&gt;&lt;related-urls&gt;&lt;url&gt;http://ebookcentral.proquest.com/lib/nyulibrary-ebooks/detail.action?docID=3138625&lt;/url&gt;&lt;/related-urls&gt;&lt;/urls&gt;&lt;/record&gt;&lt;/Cite&gt;&lt;/EndNote&gt;</w:instrText>
      </w:r>
      <w:r>
        <w:fldChar w:fldCharType="separate"/>
      </w:r>
      <w:r>
        <w:rPr>
          <w:noProof/>
        </w:rPr>
        <w:t>(</w:t>
      </w:r>
      <w:hyperlink w:anchor="_ENREF_36" w:tooltip="Mills, 1999 #277" w:history="1">
        <w:r>
          <w:rPr>
            <w:noProof/>
          </w:rPr>
          <w:t>Charles W. Mills, 1999</w:t>
        </w:r>
      </w:hyperlink>
      <w:r>
        <w:rPr>
          <w:noProof/>
        </w:rPr>
        <w:t>)</w:t>
      </w:r>
      <w:r>
        <w:fldChar w:fldCharType="end"/>
      </w:r>
      <w:r>
        <w:t xml:space="preserve">, </w:t>
      </w:r>
      <w:r>
        <w:fldChar w:fldCharType="begin"/>
      </w:r>
      <w:r>
        <w:instrText xml:space="preserve"> ADDIN EN.CITE &lt;EndNote&gt;&lt;Cite&gt;&lt;Author&gt;Moody-Adams&lt;/Author&gt;&lt;Year&gt;1994&lt;/Year&gt;&lt;RecNum&gt;268&lt;/RecNum&gt;&lt;DisplayText&gt;(Moody-Adams, 1994)&lt;/DisplayText&gt;&lt;record&gt;&lt;rec-number&gt;268&lt;/rec-number&gt;&lt;foreign-keys&gt;&lt;key app="EN" db-id="wtx9x9fxza9rpfetafo5axztvavvdtzzx55d" timestamp="1592932407" guid="2eedb43e-372e-4306-ac2d-a139fe5fd7c5"&gt;268&lt;/key&gt;&lt;/foreign-keys&gt;&lt;ref-type name="Journal Article"&gt;17&lt;/ref-type&gt;&lt;contributors&gt;&lt;authors&gt;&lt;author&gt;Moody-Adams, Michele M&lt;/author&gt;&lt;/authors&gt;&lt;/contributors&gt;&lt;titles&gt;&lt;title&gt;Culture, responsibility, and affected ignorance&lt;/title&gt;&lt;secondary-title&gt;Ethics&lt;/secondary-title&gt;&lt;/titles&gt;&lt;periodical&gt;&lt;full-title&gt;Ethics&lt;/full-title&gt;&lt;/periodical&gt;&lt;pages&gt;291-309&lt;/pages&gt;&lt;volume&gt;104&lt;/volume&gt;&lt;number&gt;2&lt;/number&gt;&lt;dates&gt;&lt;year&gt;1994&lt;/year&gt;&lt;/dates&gt;&lt;isbn&gt;0014-1704&lt;/isbn&gt;&lt;urls&gt;&lt;/urls&gt;&lt;/record&gt;&lt;/Cite&gt;&lt;/EndNote&gt;</w:instrText>
      </w:r>
      <w:r>
        <w:fldChar w:fldCharType="separate"/>
      </w:r>
      <w:r>
        <w:rPr>
          <w:noProof/>
        </w:rPr>
        <w:t>(</w:t>
      </w:r>
      <w:hyperlink w:anchor="_ENREF_38" w:tooltip="Moody-Adams, 1994 #268" w:history="1">
        <w:r>
          <w:rPr>
            <w:noProof/>
          </w:rPr>
          <w:t>Moody-Adams, 1994</w:t>
        </w:r>
      </w:hyperlink>
      <w:r>
        <w:rPr>
          <w:noProof/>
        </w:rPr>
        <w:t>)</w:t>
      </w:r>
      <w:r>
        <w:fldChar w:fldCharType="end"/>
      </w:r>
      <w:r>
        <w:t xml:space="preserve"> and </w:t>
      </w:r>
      <w:r>
        <w:fldChar w:fldCharType="begin"/>
      </w:r>
      <w:r>
        <w:instrText xml:space="preserve"> ADDIN EN.CITE &lt;EndNote&gt;&lt;Cite&gt;&lt;Author&gt;Pohlhaus Jr&lt;/Author&gt;&lt;Year&gt;2012&lt;/Year&gt;&lt;RecNum&gt;263&lt;/RecNum&gt;&lt;DisplayText&gt;(Pohlhaus Jr, 2012)&lt;/DisplayText&gt;&lt;record&gt;&lt;rec-number&gt;263&lt;/rec-number&gt;&lt;foreign-keys&gt;&lt;key app="EN" db-id="wtx9x9fxza9rpfetafo5axztvavvdtzzx55d" timestamp="1592928877" guid="85c10c91-b2d6-4068-88c0-7ebc81d9d35a"&gt;263&lt;/key&gt;&lt;/foreign-keys&gt;&lt;ref-type name="Journal Article"&gt;17&lt;/ref-type&gt;&lt;contributors&gt;&lt;authors&gt;&lt;author&gt;Pohlhaus Jr, Gaile&lt;/author&gt;&lt;/authors&gt;&lt;/contributors&gt;&lt;titles&gt;&lt;title&gt;Relational knowing and epistemic injustice: Toward a theory of willful hermeneutical ignorance&lt;/title&gt;&lt;secondary-title&gt;Hypatia&lt;/secondary-title&gt;&lt;/titles&gt;&lt;periodical&gt;&lt;full-title&gt;Hypatia&lt;/full-title&gt;&lt;/periodical&gt;&lt;pages&gt;715-735&lt;/pages&gt;&lt;volume&gt;27&lt;/volume&gt;&lt;number&gt;4&lt;/number&gt;&lt;dates&gt;&lt;year&gt;2012&lt;/year&gt;&lt;/dates&gt;&lt;isbn&gt;0887-5367&lt;/isbn&gt;&lt;urls&gt;&lt;/urls&gt;&lt;/record&gt;&lt;/Cite&gt;&lt;/EndNote&gt;</w:instrText>
      </w:r>
      <w:r>
        <w:fldChar w:fldCharType="separate"/>
      </w:r>
      <w:r>
        <w:rPr>
          <w:noProof/>
        </w:rPr>
        <w:t>(</w:t>
      </w:r>
      <w:hyperlink w:anchor="_ENREF_41" w:tooltip="Pohlhaus Jr, 2012 #263" w:history="1">
        <w:r>
          <w:rPr>
            <w:noProof/>
          </w:rPr>
          <w:t>Pohlhaus Jr, 2012</w:t>
        </w:r>
      </w:hyperlink>
      <w:r>
        <w:rPr>
          <w:noProof/>
        </w:rPr>
        <w:t>)</w:t>
      </w:r>
      <w:r>
        <w:fldChar w:fldCharType="end"/>
      </w:r>
      <w:r>
        <w:t>.</w:t>
      </w:r>
    </w:p>
  </w:footnote>
  <w:footnote w:id="16">
    <w:p w14:paraId="0EB017A7"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w:t>
        </w:r>
      </w:hyperlink>
      <w:r>
        <w:rPr>
          <w:noProof/>
        </w:rPr>
        <w:t>)</w:t>
      </w:r>
      <w:r>
        <w:fldChar w:fldCharType="end"/>
      </w:r>
      <w:r>
        <w:t>.</w:t>
      </w:r>
    </w:p>
  </w:footnote>
  <w:footnote w:id="17">
    <w:p w14:paraId="148809E8"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&lt;EndNote&gt;&lt;Cite&gt;&lt;Author&gt;Pohlhaus Jr&lt;/Author&gt;&lt;Year&gt;2012&lt;/Year&gt;&lt;RecNum&gt;263&lt;/RecNum&gt;&lt;DisplayText&gt;(Pohlhaus Jr, 2012)&lt;/DisplayText&gt;&lt;record&gt;&lt;rec-number&gt;263&lt;/rec-number&gt;&lt;foreign-keys&gt;&lt;key app="EN" db-id="wtx9x9fxza9rpfetafo5axztvavvdtzzx55d" timestamp="1592928877" guid="85c10c91-b2d6-4068-88c0-7ebc81d9d35a"&gt;263&lt;/key&gt;&lt;/foreign-keys&gt;&lt;ref-type name="Journal Article"&gt;17&lt;/ref-type&gt;&lt;contributors&gt;&lt;authors&gt;&lt;author&gt;Pohlhaus Jr, Gaile&lt;/author&gt;&lt;/authors&gt;&lt;/contributors&gt;&lt;titles&gt;&lt;title&gt;Relational knowing and epistemic injustice: Toward a theory of willful hermeneutical ignorance&lt;/title&gt;&lt;secondary-title&gt;Hypatia&lt;/secondary-title&gt;&lt;/titles&gt;&lt;periodical&gt;&lt;full-title&gt;Hypatia&lt;/full-title&gt;&lt;/periodical&gt;&lt;pages&gt;715-735&lt;/pages&gt;&lt;volume&gt;27&lt;/volume&gt;&lt;number&gt;4&lt;/number&gt;&lt;dates&gt;&lt;year&gt;2012&lt;/year&gt;&lt;/dates&gt;&lt;isbn&gt;0887-5367&lt;/isbn&gt;&lt;urls&gt;&lt;/urls&gt;&lt;/record&gt;&lt;/Cite&gt;&lt;/EndNote&gt;</w:instrText>
      </w:r>
      <w:r>
        <w:fldChar w:fldCharType="separate"/>
      </w:r>
      <w:r>
        <w:rPr>
          <w:noProof/>
        </w:rPr>
        <w:t>(</w:t>
      </w:r>
      <w:hyperlink w:anchor="_ENREF_41" w:tooltip="Pohlhaus Jr, 2012 #263" w:history="1">
        <w:r>
          <w:rPr>
            <w:noProof/>
          </w:rPr>
          <w:t>Pohlhaus Jr, 2012</w:t>
        </w:r>
      </w:hyperlink>
      <w:r>
        <w:rPr>
          <w:noProof/>
        </w:rPr>
        <w:t>)</w:t>
      </w:r>
      <w:r>
        <w:fldChar w:fldCharType="end"/>
      </w:r>
      <w:r>
        <w:t xml:space="preserve">, </w:t>
      </w:r>
      <w:r>
        <w:fldChar w:fldCharType="begin"/>
      </w:r>
      <w: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w:t>
        </w:r>
      </w:hyperlink>
      <w:r>
        <w:rPr>
          <w:noProof/>
        </w:rPr>
        <w:t>)</w:t>
      </w:r>
      <w:r>
        <w:fldChar w:fldCharType="end"/>
      </w:r>
      <w:r>
        <w:t>.</w:t>
      </w:r>
    </w:p>
  </w:footnote>
  <w:footnote w:id="18">
    <w:p w14:paraId="41F0D183"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&lt;EndNote&gt;&lt;Cite&gt;&lt;Author&gt;Moody-Adams&lt;/Author&gt;&lt;Year&gt;1994&lt;/Year&gt;&lt;RecNum&gt;268&lt;/RecNum&gt;&lt;DisplayText&gt;(Moody-Adams, 1994)&lt;/DisplayText&gt;&lt;record&gt;&lt;rec-number&gt;268&lt;/rec-number&gt;&lt;foreign-keys&gt;&lt;key app="EN" db-id="wtx9x9fxza9rpfetafo5axztvavvdtzzx55d" timestamp="1592932407" guid="2eedb43e-372e-4306-ac2d-a139fe5fd7c5"&gt;268&lt;/key&gt;&lt;/foreign-keys&gt;&lt;ref-type name="Journal Article"&gt;17&lt;/ref-type&gt;&lt;contributors&gt;&lt;authors&gt;&lt;author&gt;Moody-Adams, Michele M&lt;/author&gt;&lt;/authors&gt;&lt;/contributors&gt;&lt;titles&gt;&lt;title&gt;Culture, responsibility, and affected ignorance&lt;/title&gt;&lt;secondary-title&gt;Ethics&lt;/secondary-title&gt;&lt;/titles&gt;&lt;periodical&gt;&lt;full-title&gt;Ethics&lt;/full-title&gt;&lt;/periodical&gt;&lt;pages&gt;291-309&lt;/pages&gt;&lt;volume&gt;104&lt;/volume&gt;&lt;number&gt;2&lt;/number&gt;&lt;dates&gt;&lt;year&gt;1994&lt;/year&gt;&lt;/dates&gt;&lt;isbn&gt;0014-1704&lt;/isbn&gt;&lt;urls&gt;&lt;/urls&gt;&lt;/record&gt;&lt;/Cite&gt;&lt;/EndNote&gt;</w:instrText>
      </w:r>
      <w:r>
        <w:fldChar w:fldCharType="separate"/>
      </w:r>
      <w:r>
        <w:rPr>
          <w:noProof/>
        </w:rPr>
        <w:t>(</w:t>
      </w:r>
      <w:hyperlink w:anchor="_ENREF_38" w:tooltip="Moody-Adams, 1994 #268" w:history="1">
        <w:r>
          <w:rPr>
            <w:noProof/>
          </w:rPr>
          <w:t>Moody-Adams, 1994</w:t>
        </w:r>
      </w:hyperlink>
      <w:r>
        <w:rPr>
          <w:noProof/>
        </w:rPr>
        <w:t>)</w:t>
      </w:r>
      <w:r>
        <w:fldChar w:fldCharType="end"/>
      </w:r>
      <w:r>
        <w:t xml:space="preserve">, </w:t>
      </w:r>
      <w:r>
        <w:fldChar w:fldCharType="begin"/>
      </w:r>
      <w:r>
        <w:instrText xml:space="preserve"> ADDIN EN.CITE &lt;EndNote&gt;&lt;Cite&gt;&lt;Author&gt;Spelman&lt;/Author&gt;&lt;Year&gt;2007&lt;/Year&gt;&lt;RecNum&gt;196&lt;/RecNum&gt;&lt;DisplayText&gt;(Spelman, 2007)&lt;/DisplayText&gt;&lt;record&gt;&lt;rec-number&gt;196&lt;/rec-number&gt;&lt;foreign-keys&gt;&lt;key app="EN" db-id="wtx9x9fxza9rpfetafo5axztvavvdtzzx55d" timestamp="1592840813" guid="27532296-f06c-4197-8c4c-68a46ce55065"&gt;196&lt;/key&gt;&lt;/foreign-keys&gt;&lt;ref-type name="Journal Article"&gt;17&lt;/ref-type&gt;&lt;contributors&gt;&lt;authors&gt;&lt;author&gt;Spelman, Elizabeth&lt;/author&gt;&lt;/authors&gt;&lt;/contributors&gt;&lt;titles&gt;&lt;title&gt;Managing ignorance&lt;/title&gt;&lt;secondary-title&gt;Race and epistemologies of ignorance&lt;/secondary-title&gt;&lt;/titles&gt;&lt;periodical&gt;&lt;full-title&gt;Race and epistemologies of ignorance&lt;/full-title&gt;&lt;/periodical&gt;&lt;pages&gt;119-131&lt;/pages&gt;&lt;dates&gt;&lt;year&gt;2007&lt;/year&gt;&lt;/dates&gt;&lt;urls&gt;&lt;/urls&gt;&lt;/record&gt;&lt;/Cite&gt;&lt;/EndNote&gt;</w:instrText>
      </w:r>
      <w:r>
        <w:fldChar w:fldCharType="separate"/>
      </w:r>
      <w:r>
        <w:rPr>
          <w:noProof/>
        </w:rPr>
        <w:t>(</w:t>
      </w:r>
      <w:hyperlink w:anchor="_ENREF_50" w:tooltip="Spelman, 2007 #196" w:history="1">
        <w:r>
          <w:rPr>
            <w:noProof/>
          </w:rPr>
          <w:t>Spelman, 2007</w:t>
        </w:r>
      </w:hyperlink>
      <w:r>
        <w:rPr>
          <w:noProof/>
        </w:rPr>
        <w:t>)</w:t>
      </w:r>
      <w:r>
        <w:fldChar w:fldCharType="end"/>
      </w:r>
      <w:r>
        <w:t>.</w:t>
      </w:r>
    </w:p>
  </w:footnote>
  <w:footnote w:id="19">
    <w:p w14:paraId="4EA26C53"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&lt;EndNote&gt;&lt;Cite&gt;&lt;Author&gt;Mills&lt;/Author&gt;&lt;Year&gt;1999&lt;/Year&gt;&lt;RecNum&gt;277&lt;/RecNum&gt;&lt;DisplayText&gt;(Charles W. Mills, 1999)&lt;/DisplayText&gt;&lt;record&gt;&lt;rec-number&gt;277&lt;/rec-number&gt;&lt;foreign-keys&gt;&lt;key app="EN" db-id="wtx9x9fxza9rpfetafo5axztvavvdtzzx55d" timestamp="1596750519" guid="28acbcd2-abc6-4d03-b0cc-8c94aad799e4"&gt;277&lt;/key&gt;&lt;/foreign-keys&gt;&lt;ref-type name="Book"&gt;6&lt;/ref-type&gt;&lt;contributors&gt;&lt;authors&gt;&lt;author&gt;Mills, Charles W.&lt;/author&gt;&lt;/authors&gt;&lt;/contributors&gt;&lt;titles&gt;&lt;title&gt;The Racial Contract&lt;/title&gt;&lt;/titles&gt;&lt;keywords&gt;&lt;keyword&gt;Race relations.&lt;/keyword&gt;&lt;keyword&gt;Racism.&lt;/keyword&gt;&lt;keyword&gt;Social contract.&lt;/keyword&gt;&lt;keyword&gt;White supremacy movements.&lt;/keyword&gt;&lt;keyword&gt;Political science -- Philosophy.&lt;/keyword&gt;&lt;/keywords&gt;&lt;dates&gt;&lt;year&gt;1999&lt;/year&gt;&lt;/dates&gt;&lt;pub-location&gt;Ithaca, UNITED STATES&lt;/pub-location&gt;&lt;publisher&gt;Cornell University Press&lt;/publisher&gt;&lt;isbn&gt;9780801471353&lt;/isbn&gt;&lt;urls&gt;&lt;related-urls&gt;&lt;url&gt;http://ebookcentral.proquest.com/lib/nyulibrary-ebooks/detail.action?docID=3138625&lt;/url&gt;&lt;/related-urls&gt;&lt;/urls&gt;&lt;/record&gt;&lt;/Cite&gt;&lt;/EndNote&gt;</w:instrText>
      </w:r>
      <w:r>
        <w:fldChar w:fldCharType="separate"/>
      </w:r>
      <w:r>
        <w:rPr>
          <w:noProof/>
        </w:rPr>
        <w:t>(</w:t>
      </w:r>
      <w:hyperlink w:anchor="_ENREF_36" w:tooltip="Mills, 1999 #277" w:history="1">
        <w:r>
          <w:rPr>
            <w:noProof/>
          </w:rPr>
          <w:t>Charles W. Mills, 1999</w:t>
        </w:r>
      </w:hyperlink>
      <w:r>
        <w:rPr>
          <w:noProof/>
        </w:rPr>
        <w:t>)</w:t>
      </w:r>
      <w:r>
        <w:fldChar w:fldCharType="end"/>
      </w:r>
      <w:r>
        <w:t xml:space="preserve">, </w:t>
      </w:r>
      <w:r>
        <w:fldChar w:fldCharType="begin"/>
      </w:r>
      <w:r>
        <w:instrText xml:space="preserve"> ADDIN EN.CITE &lt;EndNote&gt;&lt;Cite&gt;&lt;Author&gt;Spelman&lt;/Author&gt;&lt;Year&gt;2007&lt;/Year&gt;&lt;RecNum&gt;196&lt;/RecNum&gt;&lt;DisplayText&gt;(Spelman, 2007)&lt;/DisplayText&gt;&lt;record&gt;&lt;rec-number&gt;196&lt;/rec-number&gt;&lt;foreign-keys&gt;&lt;key app="EN" db-id="wtx9x9fxza9rpfetafo5axztvavvdtzzx55d" timestamp="1592840813" guid="27532296-f06c-4197-8c4c-68a46ce55065"&gt;196&lt;/key&gt;&lt;/foreign-keys&gt;&lt;ref-type name="Journal Article"&gt;17&lt;/ref-type&gt;&lt;contributors&gt;&lt;authors&gt;&lt;author&gt;Spelman, Elizabeth&lt;/author&gt;&lt;/authors&gt;&lt;/contributors&gt;&lt;titles&gt;&lt;title&gt;Managing ignorance&lt;/title&gt;&lt;secondary-title&gt;Race and epistemologies of ignorance&lt;/secondary-title&gt;&lt;/titles&gt;&lt;periodical&gt;&lt;full-title&gt;Race and epistemologies of ignorance&lt;/full-title&gt;&lt;/periodical&gt;&lt;pages&gt;119-131&lt;/pages&gt;&lt;dates&gt;&lt;year&gt;2007&lt;/year&gt;&lt;/dates&gt;&lt;urls&gt;&lt;/urls&gt;&lt;/record&gt;&lt;/Cite&gt;&lt;/EndNote&gt;</w:instrText>
      </w:r>
      <w:r>
        <w:fldChar w:fldCharType="separate"/>
      </w:r>
      <w:r>
        <w:rPr>
          <w:noProof/>
        </w:rPr>
        <w:t>(</w:t>
      </w:r>
      <w:hyperlink w:anchor="_ENREF_50" w:tooltip="Spelman, 2007 #196" w:history="1">
        <w:r>
          <w:rPr>
            <w:noProof/>
          </w:rPr>
          <w:t>Spelman, 2007</w:t>
        </w:r>
      </w:hyperlink>
      <w:r>
        <w:rPr>
          <w:noProof/>
        </w:rPr>
        <w:t>)</w:t>
      </w:r>
      <w:r>
        <w:fldChar w:fldCharType="end"/>
      </w:r>
      <w:r>
        <w:t xml:space="preserve">, </w:t>
      </w:r>
      <w:r>
        <w:fldChar w:fldCharType="begin"/>
      </w:r>
      <w:r>
        <w:instrText xml:space="preserve"> ADDIN EN.CITE &lt;EndNote&gt;&lt;Cite&gt;&lt;Author&gt;Pohlhaus Jr&lt;/Author&gt;&lt;Year&gt;2012&lt;/Year&gt;&lt;RecNum&gt;263&lt;/RecNum&gt;&lt;DisplayText&gt;(Pohlhaus Jr, 2012)&lt;/DisplayText&gt;&lt;record&gt;&lt;rec-number&gt;263&lt;/rec-number&gt;&lt;foreign-keys&gt;&lt;key app="EN" db-id="wtx9x9fxza9rpfetafo5axztvavvdtzzx55d" timestamp="1592928877" guid="85c10c91-b2d6-4068-88c0-7ebc81d9d35a"&gt;263&lt;/key&gt;&lt;/foreign-keys&gt;&lt;ref-type name="Journal Article"&gt;17&lt;/ref-type&gt;&lt;contributors&gt;&lt;authors&gt;&lt;author&gt;Pohlhaus Jr, Gaile&lt;/author&gt;&lt;/authors&gt;&lt;/contributors&gt;&lt;titles&gt;&lt;title&gt;Relational knowing and epistemic injustice: Toward a theory of willful hermeneutical ignorance&lt;/title&gt;&lt;secondary-title&gt;Hypatia&lt;/secondary-title&gt;&lt;/titles&gt;&lt;periodical&gt;&lt;full-title&gt;Hypatia&lt;/full-title&gt;&lt;/periodical&gt;&lt;pages&gt;715-735&lt;/pages&gt;&lt;volume&gt;27&lt;/volume&gt;&lt;number&gt;4&lt;/number&gt;&lt;dates&gt;&lt;year&gt;2012&lt;/year&gt;&lt;/dates&gt;&lt;isbn&gt;0887-5367&lt;/isbn&gt;&lt;urls&gt;&lt;/urls&gt;&lt;/record&gt;&lt;/Cite&gt;&lt;/EndNote&gt;</w:instrText>
      </w:r>
      <w:r>
        <w:fldChar w:fldCharType="separate"/>
      </w:r>
      <w:r>
        <w:rPr>
          <w:noProof/>
        </w:rPr>
        <w:t>(</w:t>
      </w:r>
      <w:hyperlink w:anchor="_ENREF_41" w:tooltip="Pohlhaus Jr, 2012 #263" w:history="1">
        <w:r>
          <w:rPr>
            <w:noProof/>
          </w:rPr>
          <w:t>Pohlhaus Jr, 2012</w:t>
        </w:r>
      </w:hyperlink>
      <w:r>
        <w:rPr>
          <w:noProof/>
        </w:rPr>
        <w:t>)</w:t>
      </w:r>
      <w:r>
        <w:fldChar w:fldCharType="end"/>
      </w:r>
      <w:r>
        <w:t xml:space="preserve">, </w:t>
      </w:r>
      <w:r>
        <w:fldChar w:fldCharType="begin"/>
      </w:r>
      <w: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fldChar w:fldCharType="separate"/>
      </w:r>
      <w:r>
        <w:rPr>
          <w:noProof/>
        </w:rPr>
        <w:t>(</w:t>
      </w:r>
      <w:hyperlink w:anchor="_ENREF_34" w:tooltip="Medina, 2013 #174" w:history="1">
        <w:r>
          <w:rPr>
            <w:noProof/>
          </w:rPr>
          <w:t>Medina, 2013</w:t>
        </w:r>
      </w:hyperlink>
      <w:r>
        <w:rPr>
          <w:noProof/>
        </w:rPr>
        <w:t>)</w:t>
      </w:r>
      <w:r>
        <w:fldChar w:fldCharType="end"/>
      </w:r>
      <w:r>
        <w:t xml:space="preserve">, </w:t>
      </w:r>
      <w:r>
        <w:fldChar w:fldCharType="begin"/>
      </w:r>
      <w:r>
        <w:instrText xml:space="preserve"> ADDIN EN.CITE &lt;EndNote&gt;&lt;Cite&gt;&lt;Author&gt;Bailey&lt;/Author&gt;&lt;Year&gt;2017&lt;/Year&gt;&lt;RecNum&gt;276&lt;/RecNum&gt;&lt;DisplayText&gt;(Bailey, 2017)&lt;/DisplayText&gt;&lt;record&gt;&lt;rec-number&gt;276&lt;/rec-number&gt;&lt;foreign-keys&gt;&lt;key app="EN" db-id="wtx9x9fxza9rpfetafo5axztvavvdtzzx55d" timestamp="1596641874" guid="fc68ac08-dfd4-4354-9f4b-df673d3acbbb"&gt;276&lt;/key&gt;&lt;/foreign-keys&gt;&lt;ref-type name="Journal Article"&gt;17&lt;/ref-type&gt;&lt;contributors&gt;&lt;authors&gt;&lt;author&gt;Bailey, Alison&lt;/author&gt;&lt;/authors&gt;&lt;/contributors&gt;&lt;titles&gt;&lt;title&gt;Tracking Privilege</w:instrText>
      </w:r>
      <w:r>
        <w:rPr>
          <w:rFonts w:ascii="Palatino Linotype" w:hAnsi="Palatino Linotype" w:cs="Palatino Linotype"/>
        </w:rPr>
        <w:instrText>‐</w:instrText>
      </w:r>
      <w:r>
        <w:instrText>Preserving Epistemic Pushback in Feminist and Critical Race Philosophy Classes&lt;/title&gt;&lt;secondary-title&gt;Hypatia&lt;/secondary-title&gt;&lt;/titles&gt;&lt;periodical&gt;&lt;full-title&gt;Hypatia&lt;/full-title&gt;&lt;/periodical&gt;&lt;pages&gt;876-892&lt;/pages&gt;&lt;volume&gt;32&lt;/volume&gt;&lt;number&gt;4&lt;/number&gt;&lt;dates&gt;&lt;year&gt;2017&lt;/year&gt;&lt;/dates&gt;&lt;isbn&gt;0887-5367&lt;/isbn&gt;&lt;urls&gt;&lt;/urls&gt;&lt;/record&gt;&lt;/Cite&gt;&lt;/EndNote&gt;</w:instrText>
      </w:r>
      <w:r>
        <w:fldChar w:fldCharType="separate"/>
      </w:r>
      <w:r>
        <w:rPr>
          <w:noProof/>
        </w:rPr>
        <w:t>(</w:t>
      </w:r>
      <w:hyperlink w:anchor="_ENREF_3" w:tooltip="Bailey, 2017 #276" w:history="1">
        <w:r>
          <w:rPr>
            <w:noProof/>
          </w:rPr>
          <w:t>Bailey, 2017</w:t>
        </w:r>
      </w:hyperlink>
      <w:r>
        <w:rPr>
          <w:noProof/>
        </w:rPr>
        <w:t>)</w:t>
      </w:r>
      <w:r>
        <w:fldChar w:fldCharType="end"/>
      </w:r>
      <w:r>
        <w:t xml:space="preserve">, </w:t>
      </w:r>
      <w:r>
        <w:fldChar w:fldCharType="begin"/>
      </w:r>
      <w:r>
        <w:instrText xml:space="preserve"> ADDIN EN.CITE &lt;EndNote&gt;&lt;Cite&gt;&lt;Author&gt;Woomer&lt;/Author&gt;&lt;Year&gt;2019&lt;/Year&gt;&lt;RecNum&gt;175&lt;/RecNum&gt;&lt;DisplayText&gt;(Woomer, 2019)&lt;/DisplayText&gt;&lt;record&gt;&lt;rec-number&gt;175&lt;/rec-number&gt;&lt;foreign-keys&gt;&lt;key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w:t>
        </w:r>
      </w:hyperlink>
      <w:r>
        <w:rPr>
          <w:noProof/>
        </w:rPr>
        <w:t>)</w:t>
      </w:r>
      <w:r>
        <w:fldChar w:fldCharType="end"/>
      </w:r>
      <w:r>
        <w:t>.</w:t>
      </w:r>
    </w:p>
  </w:footnote>
  <w:footnote w:id="20">
    <w:p w14:paraId="48228EE8"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&lt;EndNote&gt;&lt;Cite&gt;&lt;Author&gt;Horowitz&lt;/Author&gt;&lt;Year&gt;2016&lt;/Year&gt;&lt;RecNum&gt;210&lt;/RecNum&gt;&lt;DisplayText&gt;(J. M. Horowitz &amp;amp; Livingston, 2016)&lt;/DisplayText&gt;&lt;record&gt;&lt;rec-number&gt;210&lt;/rec-number&gt;&lt;foreign-keys&gt;&lt;key app="EN" db-id="wtx9x9fxza9rpfetafo5axztvavvdtzzx55d" timestamp="1592840850" guid="43e817b8-7422-44ba-898f-96b4fa309c36"&gt;210&lt;/key&gt;&lt;/foreign-keys&gt;&lt;ref-type name="Journal Article"&gt;17&lt;/ref-type&gt;&lt;contributors&gt;&lt;authors&gt;&lt;author&gt;Horowitz, Juliana Menasce&lt;/author&gt;&lt;author&gt;Livingston, Gretchen&lt;/author&gt;&lt;/authors&gt;&lt;/contributors&gt;&lt;titles&gt;&lt;title&gt;How Americans view the Black Lives Matter movement&lt;/title&gt;&lt;secondary-title&gt;Pew Research Center&lt;/secondary-title&gt;&lt;/titles&gt;&lt;periodical&gt;&lt;full-title&gt;Pew Research Center&lt;/full-title&gt;&lt;/periodical&gt;&lt;volume&gt;8&lt;/volume&gt;&lt;dates&gt;&lt;year&gt;2016&lt;/year&gt;&lt;/dates&gt;&lt;urls&gt;&lt;/urls&gt;&lt;/record&gt;&lt;/Cite&gt;&lt;/EndNote&gt;</w:instrText>
      </w:r>
      <w:r>
        <w:fldChar w:fldCharType="separate"/>
      </w:r>
      <w:r>
        <w:rPr>
          <w:noProof/>
        </w:rPr>
        <w:t>(</w:t>
      </w:r>
      <w:hyperlink w:anchor="_ENREF_30" w:tooltip="Horowitz, 2016 #210" w:history="1">
        <w:r>
          <w:rPr>
            <w:noProof/>
          </w:rPr>
          <w:t>J. M. Horowitz &amp; Livingston, 2016</w:t>
        </w:r>
      </w:hyperlink>
      <w:r>
        <w:rPr>
          <w:noProof/>
        </w:rPr>
        <w:t>)</w:t>
      </w:r>
      <w:r>
        <w:fldChar w:fldCharType="end"/>
      </w:r>
      <w:r>
        <w:t>.</w:t>
      </w:r>
    </w:p>
  </w:footnote>
  <w:footnote w:id="21">
    <w:p w14:paraId="70D1438E" w14:textId="77777777" w:rsidR="00EC612A" w:rsidRDefault="00EC612A" w:rsidP="00EC612A">
      <w:pPr>
        <w:pStyle w:val="Footnote"/>
      </w:pPr>
      <w:r>
        <w:rPr>
          <w:vertAlign w:val="superscript"/>
        </w:rPr>
        <w:footnoteRef/>
      </w:r>
      <w:r>
        <w:t xml:space="preserve"> There are similar cases in other contexts. King Leopold II, for example, saw to it that records of Belgian atrocities in the Congo were destroyed or kept closed even to state officials for nearly a century </w:t>
      </w:r>
      <w:r>
        <w:fldChar w:fldCharType="begin"/>
      </w:r>
      <w:r>
        <w:instrText xml:space="preserve"> ADDIN EN.CITE &lt;EndNote&gt;&lt;Cite&gt;&lt;Author&gt;Ewans&lt;/Author&gt;&lt;Year&gt;2003&lt;/Year&gt;&lt;RecNum&gt;233&lt;/RecNum&gt;&lt;Pages&gt;170&lt;/Pages&gt;&lt;DisplayText&gt;(Ewans, 2003, p. 170)&lt;/DisplayText&gt;&lt;record&gt;&lt;rec-number&gt;233&lt;/rec-number&gt;&lt;foreign-keys&gt;&lt;key app="EN" db-id="wtx9x9fxza9rpfetafo5axztvavvdtzzx55d" timestamp="1592840920" guid="78bcb23e-6325-44d7-a431-a3501397173e"&gt;233&lt;/key&gt;&lt;/foreign-keys&gt;&lt;ref-type name="Journal Article"&gt;17&lt;/ref-type&gt;&lt;contributors&gt;&lt;authors&gt;&lt;author&gt;Ewans, Martin&lt;/author&gt;&lt;/authors&gt;&lt;/contributors&gt;&lt;titles&gt;&lt;title&gt;Belgium and the colonial experience&lt;/title&gt;&lt;secondary-title&gt;Journal of Contemporary European Studies&lt;/secondary-title&gt;&lt;/titles&gt;&lt;periodical&gt;&lt;full-title&gt;Journal of Contemporary European Studies&lt;/full-title&gt;&lt;/periodical&gt;&lt;pages&gt;167-180&lt;/pages&gt;&lt;volume&gt;11&lt;/volume&gt;&lt;number&gt;2&lt;/number&gt;&lt;dates&gt;&lt;year&gt;2003&lt;/year&gt;&lt;/dates&gt;&lt;isbn&gt;1478-2804&lt;/isbn&gt;&lt;urls&gt;&lt;/urls&gt;&lt;/record&gt;&lt;/Cite&gt;&lt;/EndNote&gt;</w:instrText>
      </w:r>
      <w:r>
        <w:fldChar w:fldCharType="separate"/>
      </w:r>
      <w:r>
        <w:rPr>
          <w:noProof/>
        </w:rPr>
        <w:t>(</w:t>
      </w:r>
      <w:hyperlink w:anchor="_ENREF_14" w:tooltip="Ewans, 2003 #233" w:history="1">
        <w:r>
          <w:rPr>
            <w:noProof/>
          </w:rPr>
          <w:t>Ewans, 2003, p. 170</w:t>
        </w:r>
      </w:hyperlink>
      <w:r>
        <w:rPr>
          <w:noProof/>
        </w:rPr>
        <w:t>)</w:t>
      </w:r>
      <w:r>
        <w:fldChar w:fldCharType="end"/>
      </w:r>
      <w:r>
        <w:t>.</w:t>
      </w:r>
    </w:p>
  </w:footnote>
  <w:footnote w:id="22">
    <w:p w14:paraId="2719804B" w14:textId="77777777" w:rsidR="00EC612A" w:rsidRDefault="00EC612A" w:rsidP="00EC612A">
      <w:pPr>
        <w:pStyle w:val="Footnote"/>
        <w:rPr>
          <w:rFonts w:ascii="Cochin" w:hAnsi="Cochin" w:cs="Cochin"/>
        </w:rPr>
      </w:pPr>
      <w:r>
        <w:rPr>
          <w:vertAlign w:val="superscript"/>
        </w:rPr>
        <w:footnoteRef/>
      </w:r>
      <w:r>
        <w:t xml:space="preserve"> See </w:t>
      </w:r>
      <w:r>
        <w:fldChar w:fldCharType="begin"/>
      </w:r>
      <w:r>
        <w:instrText xml:space="preserve"> ADDIN EN.CITE &lt;EndNote&gt;&lt;Cite ExcludeAuth="1"&gt;&lt;Year&gt;1952&lt;/Year&gt;&lt;RecNum&gt;236&lt;/RecNum&gt;&lt;DisplayText&gt;(&amp;quot;Public Law 82-414,&amp;quot; 1952)&lt;/DisplayText&gt;&lt;record&gt;&lt;rec-number&gt;236&lt;/rec-number&gt;&lt;foreign-keys&gt;&lt;key app="EN" db-id="wtx9x9fxza9rpfetafo5axztvavvdtzzx55d" timestamp="1592842044" guid="f4269f4e-3ab1-48f4-9542-1a01a2de9bd1"&gt;236&lt;/key&gt;&lt;/foreign-keys&gt;&lt;ref-type name="Statute"&gt;31&lt;/ref-type&gt;&lt;contributors&gt;&lt;/contributors&gt;&lt;titles&gt;&lt;title&gt;Public Law 82-414&lt;/title&gt;&lt;/titles&gt;&lt;pages&gt;163&lt;/pages&gt;&lt;number&gt;82-414&lt;/number&gt;&lt;num-vols&gt;66&lt;/num-vols&gt;&lt;dates&gt;&lt;year&gt;1952&lt;/year&gt;&lt;/dates&gt;&lt;publisher&gt;United States Statutes at Large&lt;/publisher&gt;&lt;urls&gt;&lt;related-urls&gt;&lt;url&gt;https://www.govinfo.gov/content/pkg/STATUTE-66/pdf/STATUTE-66-Pg163.pdf&lt;/url&gt;&lt;/related-urls&gt;&lt;/urls&gt;&lt;access-date&gt;October 16, 2019&lt;/access-date&gt;&lt;/record&gt;&lt;/Cite&gt;&lt;/EndNote&gt;</w:instrText>
      </w:r>
      <w:r>
        <w:fldChar w:fldCharType="separate"/>
      </w:r>
      <w:r>
        <w:rPr>
          <w:noProof/>
        </w:rPr>
        <w:t>(</w:t>
      </w:r>
      <w:hyperlink w:anchor="_ENREF_43" w:tooltip=", 1952 #236" w:history="1">
        <w:r>
          <w:rPr>
            <w:noProof/>
          </w:rPr>
          <w:t>"Public Law 82-414," 1952</w:t>
        </w:r>
      </w:hyperlink>
      <w:r>
        <w:rPr>
          <w:noProof/>
        </w:rPr>
        <w:t>)</w:t>
      </w:r>
      <w:r>
        <w:fldChar w:fldCharType="end"/>
      </w:r>
      <w:r>
        <w:t>.</w:t>
      </w:r>
    </w:p>
  </w:footnote>
  <w:footnote w:id="23">
    <w:p w14:paraId="185B91B1" w14:textId="77777777" w:rsidR="00EC612A" w:rsidRDefault="00EC612A" w:rsidP="00EC612A">
      <w:pPr>
        <w:pStyle w:val="Footnote"/>
      </w:pPr>
      <w:r>
        <w:rPr>
          <w:vertAlign w:val="superscript"/>
        </w:rPr>
        <w:footnoteRef/>
      </w:r>
      <w:r>
        <w:t xml:space="preserve"> Mills characterizes white ignorance as a “structural group-based miscognition,” </w:t>
      </w:r>
      <w:r>
        <w:fldChar w:fldCharType="begin"/>
      </w:r>
      <w:r>
        <w:instrText xml:space="preserve"> ADDIN EN.CITE &lt;EndNote&gt;&lt;Cite&gt;&lt;Author&gt;Mills&lt;/Author&gt;&lt;Year&gt;2007&lt;/Year&gt;&lt;RecNum&gt;91&lt;/RecNum&gt;&lt;Pages&gt;13&lt;/Pages&gt;&lt;DisplayText&gt;(C. Mills, 2007, p. 13)&lt;/DisplayText&gt;&lt;record&gt;&lt;rec-number&gt;91&lt;/rec-number&gt;&lt;foreign-keys&gt;&lt;key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fldChar w:fldCharType="separate"/>
      </w:r>
      <w:r>
        <w:rPr>
          <w:noProof/>
        </w:rPr>
        <w:t>(</w:t>
      </w:r>
      <w:hyperlink w:anchor="_ENREF_35" w:tooltip="Mills, 2007 #91" w:history="1">
        <w:r>
          <w:rPr>
            <w:noProof/>
          </w:rPr>
          <w:t>C. Mills, 2007, p. 13</w:t>
        </w:r>
      </w:hyperlink>
      <w:r>
        <w:rPr>
          <w:noProof/>
        </w:rPr>
        <w:t>)</w:t>
      </w:r>
      <w:r>
        <w:fldChar w:fldCharType="end"/>
      </w:r>
      <w:r>
        <w:t xml:space="preserve"> a “group-based cognitive handicap,” </w:t>
      </w:r>
      <w:r>
        <w:fldChar w:fldCharType="begin"/>
      </w:r>
      <w:r>
        <w:instrText xml:space="preserve"> ADDIN EN.CITE &lt;EndNote&gt;&lt;Cite&gt;&lt;Author&gt;Mills&lt;/Author&gt;&lt;Year&gt;2007&lt;/Year&gt;&lt;RecNum&gt;91&lt;/RecNum&gt;&lt;Pages&gt;15&lt;/Pages&gt;&lt;DisplayText&gt;(C. Mills, 2007, p. 15)&lt;/DisplayText&gt;&lt;record&gt;&lt;rec-number&gt;91&lt;/rec-number&gt;&lt;foreign-keys&gt;&lt;key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fldChar w:fldCharType="separate"/>
      </w:r>
      <w:r>
        <w:rPr>
          <w:noProof/>
        </w:rPr>
        <w:t>(</w:t>
      </w:r>
      <w:hyperlink w:anchor="_ENREF_35" w:tooltip="Mills, 2007 #91" w:history="1">
        <w:r>
          <w:rPr>
            <w:noProof/>
          </w:rPr>
          <w:t>C. Mills, 2007, p. 15</w:t>
        </w:r>
      </w:hyperlink>
      <w:r>
        <w:rPr>
          <w:noProof/>
        </w:rPr>
        <w:t>)</w:t>
      </w:r>
      <w:r>
        <w:fldChar w:fldCharType="end"/>
      </w:r>
      <w:r>
        <w:t xml:space="preserve"> “a cognitive tendency,” </w:t>
      </w:r>
      <w:r>
        <w:fldChar w:fldCharType="begin"/>
      </w:r>
      <w:r>
        <w:instrText xml:space="preserve"> ADDIN EN.CITE &lt;EndNote&gt;&lt;Cite&gt;&lt;Author&gt;Mills&lt;/Author&gt;&lt;Year&gt;2007&lt;/Year&gt;&lt;RecNum&gt;91&lt;/RecNum&gt;&lt;Pages&gt;23&lt;/Pages&gt;&lt;DisplayText&gt;(C. Mills, 2007, p. 23)&lt;/DisplayText&gt;&lt;record&gt;&lt;rec-number&gt;91&lt;/rec-number&gt;&lt;foreign-keys&gt;&lt;key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fldChar w:fldCharType="separate"/>
      </w:r>
      <w:r>
        <w:rPr>
          <w:noProof/>
        </w:rPr>
        <w:t>(</w:t>
      </w:r>
      <w:hyperlink w:anchor="_ENREF_35" w:tooltip="Mills, 2007 #91" w:history="1">
        <w:r>
          <w:rPr>
            <w:noProof/>
          </w:rPr>
          <w:t>C. Mills, 2007, p. 23</w:t>
        </w:r>
      </w:hyperlink>
      <w:r>
        <w:rPr>
          <w:noProof/>
        </w:rPr>
        <w:t>)</w:t>
      </w:r>
      <w:r>
        <w:fldChar w:fldCharType="end"/>
      </w:r>
      <w:r>
        <w:t xml:space="preserve"> and “a cognitive orientation to the world” </w:t>
      </w:r>
      <w:r>
        <w:fldChar w:fldCharType="begin"/>
      </w:r>
      <w:r>
        <w:instrText xml:space="preserve"> ADDIN EN.CITE &lt;EndNote&gt;&lt;Cite&gt;&lt;Author&gt;Mills&lt;/Author&gt;&lt;Year&gt;2015&lt;/Year&gt;&lt;RecNum&gt;90&lt;/RecNum&gt;&lt;Pages&gt;218&lt;/Pages&gt;&lt;DisplayText&gt;(Charles W Mills, 2015, p. 218)&lt;/DisplayText&gt;&lt;record&gt;&lt;rec-number&gt;90&lt;/rec-number&gt;&lt;foreign-keys&gt;&lt;key app="EN" db-id="wtx9x9fxza9rpfetafo5axztvavvdtzzx55d" timestamp="1570124166" guid="be061082-d411-4f47-89f0-1520d0aa8c83"&gt;90&lt;/key&gt;&lt;/foreign-keys&gt;&lt;ref-type name="Book"&gt;6&lt;/ref-type&gt;&lt;contributors&gt;&lt;authors&gt;&lt;author&gt;Mills, Charles W&lt;/author&gt;&lt;/authors&gt;&lt;/contributors&gt;&lt;titles&gt;&lt;title&gt;Global white ignorance&lt;/title&gt;&lt;/titles&gt;&lt;dates&gt;&lt;year&gt;2015&lt;/year&gt;&lt;/dates&gt;&lt;publisher&gt;Routledge Abingdon&lt;/publisher&gt;&lt;urls&gt;&lt;/urls&gt;&lt;/record&gt;&lt;/Cite&gt;&lt;/EndNote&gt;</w:instrText>
      </w:r>
      <w:r>
        <w:fldChar w:fldCharType="separate"/>
      </w:r>
      <w:r>
        <w:rPr>
          <w:noProof/>
        </w:rPr>
        <w:t>(</w:t>
      </w:r>
      <w:hyperlink w:anchor="_ENREF_37" w:tooltip="Mills, 2015 #90" w:history="1">
        <w:r>
          <w:rPr>
            <w:noProof/>
          </w:rPr>
          <w:t>Charles W Mills, 2015, p. 218</w:t>
        </w:r>
      </w:hyperlink>
      <w:r>
        <w:rPr>
          <w:noProof/>
        </w:rPr>
        <w:t>)</w:t>
      </w:r>
      <w:r>
        <w:fldChar w:fldCharType="end"/>
      </w:r>
      <w:r>
        <w:t>. All but one of his examples involve social practices that directly affect agents’ cognitive processes.</w:t>
      </w:r>
    </w:p>
  </w:footnote>
  <w:footnote w:id="24">
    <w:p w14:paraId="0BF101FB" w14:textId="77777777" w:rsidR="00EC612A" w:rsidRDefault="00EC612A" w:rsidP="00EC612A">
      <w:pPr>
        <w:pStyle w:val="Footnote"/>
      </w:pPr>
      <w:r>
        <w:rPr>
          <w:vertAlign w:val="superscript"/>
        </w:rPr>
        <w:footnoteRef/>
      </w:r>
      <w:r>
        <w:t xml:space="preserve"> Some may prefer to call this the “Ideological View.” I avoid this because it raises substantive questions about, e.g., how ideology is best understood.</w:t>
      </w:r>
    </w:p>
  </w:footnote>
  <w:footnote w:id="25">
    <w:p w14:paraId="37E5A305"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&lt;EndNote&gt;&lt;Cite&gt;&lt;Author&gt;Alcoff&lt;/Author&gt;&lt;Year&gt;2007&lt;/Year&gt;&lt;RecNum&gt;224&lt;/RecNum&gt;&lt;DisplayText&gt;(Alcoff, 2007)&lt;/DisplayText&gt;&lt;record&gt;&lt;rec-number&gt;224&lt;/rec-number&gt;&lt;foreign-keys&gt;&lt;key app="EN" db-id="wtx9x9fxza9rpfetafo5axztvavvdtzzx55d" timestamp="1592840920" guid="6c013b0f-717a-4c3b-9fc0-7b14ce900719"&gt;224&lt;/key&gt;&lt;/foreign-keys&gt;&lt;ref-type name="Journal Article"&gt;17&lt;/ref-type&gt;&lt;contributors&gt;&lt;authors&gt;&lt;author&gt;Alcoff, Linda Martín&lt;/author&gt;&lt;/authors&gt;&lt;/contributors&gt;&lt;titles&gt;&lt;title&gt;Epistemologies of ignorance: Three types&lt;/title&gt;&lt;/titles&gt;&lt;dates&gt;&lt;year&gt;2007&lt;/year&gt;&lt;/dates&gt;&lt;urls&gt;&lt;/urls&gt;&lt;/record&gt;&lt;/Cite&gt;&lt;/EndNote&gt;</w:instrText>
      </w:r>
      <w:r>
        <w:fldChar w:fldCharType="separate"/>
      </w:r>
      <w:r>
        <w:rPr>
          <w:noProof/>
        </w:rPr>
        <w:t>(</w:t>
      </w:r>
      <w:hyperlink w:anchor="_ENREF_2" w:tooltip="Alcoff, 2007 #224" w:history="1">
        <w:r>
          <w:rPr>
            <w:noProof/>
          </w:rPr>
          <w:t>Alcoff, 2007</w:t>
        </w:r>
      </w:hyperlink>
      <w:r>
        <w:rPr>
          <w:noProof/>
        </w:rPr>
        <w:t>)</w:t>
      </w:r>
      <w:r>
        <w:fldChar w:fldCharType="end"/>
      </w:r>
    </w:p>
  </w:footnote>
  <w:footnote w:id="26">
    <w:p w14:paraId="7FABD06D"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&lt;EndNote&gt;&lt;Cite&gt;&lt;Author&gt;Mills&lt;/Author&gt;&lt;Year&gt;2015&lt;/Year&gt;&lt;RecNum&gt;90&lt;/RecNum&gt;&lt;Pages&gt;218&lt;/Pages&gt;&lt;DisplayText&gt;(Charles W Mills, 2015, p. 218)&lt;/DisplayText&gt;&lt;record&gt;&lt;rec-number&gt;90&lt;/rec-number&gt;&lt;foreign-keys&gt;&lt;key app="EN" db-id="wtx9x9fxza9rpfetafo5axztvavvdtzzx55d" timestamp="1570124166" guid="be061082-d411-4f47-89f0-1520d0aa8c83"&gt;90&lt;/key&gt;&lt;/foreign-keys&gt;&lt;ref-type name="Book"&gt;6&lt;/ref-type&gt;&lt;contributors&gt;&lt;authors&gt;&lt;author&gt;Mills, Charles W&lt;/author&gt;&lt;/authors&gt;&lt;/contributors&gt;&lt;titles&gt;&lt;title&gt;Global white ignorance&lt;/title&gt;&lt;/titles&gt;&lt;dates&gt;&lt;year&gt;2015&lt;/year&gt;&lt;/dates&gt;&lt;publisher&gt;Routledge Abingdon&lt;/publisher&gt;&lt;urls&gt;&lt;/urls&gt;&lt;/record&gt;&lt;/Cite&gt;&lt;/EndNote&gt;</w:instrText>
      </w:r>
      <w:r>
        <w:fldChar w:fldCharType="separate"/>
      </w:r>
      <w:r>
        <w:rPr>
          <w:noProof/>
        </w:rPr>
        <w:t>(</w:t>
      </w:r>
      <w:hyperlink w:anchor="_ENREF_37" w:tooltip="Mills, 2015 #90" w:history="1">
        <w:r>
          <w:rPr>
            <w:noProof/>
          </w:rPr>
          <w:t>Charles W Mills, 2015, p. 218</w:t>
        </w:r>
      </w:hyperlink>
      <w:r>
        <w:rPr>
          <w:noProof/>
        </w:rPr>
        <w:t>)</w:t>
      </w:r>
      <w:r>
        <w:fldChar w:fldCharType="end"/>
      </w:r>
      <w:r>
        <w:t>.</w:t>
      </w:r>
    </w:p>
  </w:footnote>
  <w:footnote w:id="27">
    <w:p w14:paraId="7D67EF16"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&lt;EndNote&gt;&lt;Cite&gt;&lt;Author&gt;Mills&lt;/Author&gt;&lt;Year&gt;2007&lt;/Year&gt;&lt;RecNum&gt;91&lt;/RecNum&gt;&lt;Pages&gt;27&lt;/Pages&gt;&lt;DisplayText&gt;(C. Mills, 2007, p. 27)&lt;/DisplayText&gt;&lt;record&gt;&lt;rec-number&gt;91&lt;/rec-number&gt;&lt;foreign-keys&gt;&lt;key app="EN" db-id="wtx9x9fxza9rpfetafo5axztvavvdtzzx55d" timestamp="1570124449" guid="cb0fc073-416e-4ae9-ae0d-b842e08cb389"&gt;91&lt;/key&gt;&lt;/foreign-keys&gt;&lt;ref-type name="Journal Article"&gt;17&lt;/ref-type&gt;&lt;contributors&gt;&lt;authors&gt;&lt;author&gt;Mills, Charles&lt;/author&gt;&lt;/authors&gt;&lt;/contributors&gt;&lt;titles&gt;&lt;title&gt;White ignorance&lt;/title&gt;&lt;secondary-title&gt;Race and epistemologies of ignorance&lt;/secondary-title&gt;&lt;/titles&gt;&lt;periodical&gt;&lt;full-title&gt;Race and epistemologies of ignorance&lt;/full-title&gt;&lt;/periodical&gt;&lt;pages&gt;26-31&lt;/pages&gt;&lt;volume&gt;247&lt;/volume&gt;&lt;dates&gt;&lt;year&gt;2007&lt;/year&gt;&lt;/dates&gt;&lt;urls&gt;&lt;/urls&gt;&lt;/record&gt;&lt;/Cite&gt;&lt;/EndNote&gt;</w:instrText>
      </w:r>
      <w:r>
        <w:fldChar w:fldCharType="separate"/>
      </w:r>
      <w:r>
        <w:rPr>
          <w:noProof/>
        </w:rPr>
        <w:t>(</w:t>
      </w:r>
      <w:hyperlink w:anchor="_ENREF_35" w:tooltip="Mills, 2007 #91" w:history="1">
        <w:r>
          <w:rPr>
            <w:noProof/>
          </w:rPr>
          <w:t>C. Mills, 2007, p. 27</w:t>
        </w:r>
      </w:hyperlink>
      <w:r>
        <w:rPr>
          <w:noProof/>
        </w:rPr>
        <w:t>)</w:t>
      </w:r>
      <w:r>
        <w:fldChar w:fldCharType="end"/>
      </w:r>
      <w:r>
        <w:t xml:space="preserve">, </w:t>
      </w:r>
      <w:r>
        <w:fldChar w:fldCharType="begin"/>
      </w:r>
      <w: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fldChar w:fldCharType="separate"/>
      </w:r>
      <w:r>
        <w:rPr>
          <w:noProof/>
        </w:rPr>
        <w:t>(</w:t>
      </w:r>
      <w:hyperlink w:anchor="_ENREF_34" w:tooltip="Medina, 2013 #174" w:history="1">
        <w:r>
          <w:rPr>
            <w:noProof/>
          </w:rPr>
          <w:t>Medina, 2013</w:t>
        </w:r>
      </w:hyperlink>
      <w:r>
        <w:rPr>
          <w:noProof/>
        </w:rPr>
        <w:t>)</w:t>
      </w:r>
      <w:r>
        <w:fldChar w:fldCharType="end"/>
      </w:r>
    </w:p>
  </w:footnote>
  <w:footnote w:id="28">
    <w:p w14:paraId="174C2B30"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&lt;EndNote&gt;&lt;Cite&gt;&lt;Author&gt;Toole&lt;/Author&gt;&lt;Year&gt;2019&lt;/Year&gt;&lt;RecNum&gt;198&lt;/RecNum&gt;&lt;DisplayText&gt;(Toole, 2019)&lt;/DisplayText&gt;&lt;record&gt;&lt;rec-number&gt;198&lt;/rec-number&gt;&lt;foreign-keys&gt;&lt;key app="EN" db-id="wtx9x9fxza9rpfetafo5axztvavvdtzzx55d" timestamp="1592840813" guid="06ffc595-2930-4f83-be01-1b25c570b32e"&gt;198&lt;/key&gt;&lt;/foreign-keys&gt;&lt;ref-type name="Journal Article"&gt;17&lt;/ref-type&gt;&lt;contributors&gt;&lt;authors&gt;&lt;author&gt;Toole, Briana&lt;/author&gt;&lt;/authors&gt;&lt;/contributors&gt;&lt;titles&gt;&lt;title&gt;From Standpoint Epistemology to Epistemic Oppression&lt;/title&gt;&lt;secondary-title&gt;Hypatia&lt;/secondary-title&gt;&lt;/titles&gt;&lt;periodical&gt;&lt;full-title&gt;Hypatia&lt;/full-title&gt;&lt;/periodical&gt;&lt;pages&gt;598-618&lt;/pages&gt;&lt;volume&gt;34&lt;/volume&gt;&lt;number&gt;4&lt;/number&gt;&lt;dates&gt;&lt;year&gt;2019&lt;/year&gt;&lt;/dates&gt;&lt;isbn&gt;0887-5367&lt;/isbn&gt;&lt;urls&gt;&lt;/urls&gt;&lt;/record&gt;&lt;/Cite&gt;&lt;/EndNote&gt;</w:instrText>
      </w:r>
      <w:r>
        <w:fldChar w:fldCharType="separate"/>
      </w:r>
      <w:r>
        <w:rPr>
          <w:noProof/>
        </w:rPr>
        <w:t>(</w:t>
      </w:r>
      <w:hyperlink w:anchor="_ENREF_52" w:tooltip="Toole, 2019 #198" w:history="1">
        <w:r>
          <w:rPr>
            <w:noProof/>
          </w:rPr>
          <w:t>Toole, 2019</w:t>
        </w:r>
      </w:hyperlink>
      <w:r>
        <w:rPr>
          <w:noProof/>
        </w:rPr>
        <w:t>)</w:t>
      </w:r>
      <w:r>
        <w:fldChar w:fldCharType="end"/>
      </w:r>
      <w:r>
        <w:t>.</w:t>
      </w:r>
    </w:p>
  </w:footnote>
  <w:footnote w:id="29">
    <w:p w14:paraId="60217E38"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&lt;EndNote&gt;&lt;Cite&gt;&lt;Author&gt;Begby&lt;/Author&gt;&lt;Year&gt;2013&lt;/Year&gt;&lt;RecNum&gt;226&lt;/RecNum&gt;&lt;DisplayText&gt;(Begby, 2013)&lt;/DisplayText&gt;&lt;record&gt;&lt;rec-number&gt;226&lt;/rec-number&gt;&lt;foreign-keys&gt;&lt;key app="EN" db-id="wtx9x9fxza9rpfetafo5axztvavvdtzzx55d" timestamp="1592840920" guid="922f3603-fb34-42df-86f0-513d473b65cb"&gt;226&lt;/key&gt;&lt;/foreign-keys&gt;&lt;ref-type name="Journal Article"&gt;17&lt;/ref-type&gt;&lt;contributors&gt;&lt;authors&gt;&lt;author&gt;Begby, Endre&lt;/author&gt;&lt;/authors&gt;&lt;/contributors&gt;&lt;titles&gt;&lt;title&gt;The epistemology of prejudice&lt;/title&gt;&lt;secondary-title&gt;Thought: A Journal of Philosophy&lt;/secondary-title&gt;&lt;/titles&gt;&lt;periodical&gt;&lt;full-title&gt;Thought: A Journal of Philosophy&lt;/full-title&gt;&lt;/periodical&gt;&lt;pages&gt;90-99&lt;/pages&gt;&lt;volume&gt;2&lt;/volume&gt;&lt;number&gt;2&lt;/number&gt;&lt;dates&gt;&lt;year&gt;2013&lt;/year&gt;&lt;/dates&gt;&lt;isbn&gt;2161-2234&lt;/isbn&gt;&lt;urls&gt;&lt;/urls&gt;&lt;/record&gt;&lt;/Cite&gt;&lt;/EndNote&gt;</w:instrText>
      </w:r>
      <w:r>
        <w:fldChar w:fldCharType="separate"/>
      </w:r>
      <w:r>
        <w:rPr>
          <w:noProof/>
        </w:rPr>
        <w:t>(</w:t>
      </w:r>
      <w:hyperlink w:anchor="_ENREF_4" w:tooltip="Begby, 2013 #226" w:history="1">
        <w:r>
          <w:rPr>
            <w:noProof/>
          </w:rPr>
          <w:t>Begby, 2013</w:t>
        </w:r>
      </w:hyperlink>
      <w:r>
        <w:rPr>
          <w:noProof/>
        </w:rPr>
        <w:t>)</w:t>
      </w:r>
      <w:r>
        <w:fldChar w:fldCharType="end"/>
      </w:r>
      <w:r>
        <w:t xml:space="preserve">, </w:t>
      </w:r>
      <w:r>
        <w:fldChar w:fldCharType="begin"/>
      </w:r>
      <w:r>
        <w:instrText xml:space="preserve"> ADDIN EN.CITE &lt;EndNote&gt;&lt;Cite&gt;&lt;Author&gt;Dotson&lt;/Author&gt;&lt;Year&gt;2018&lt;/Year&gt;&lt;RecNum&gt;231&lt;/RecNum&gt;&lt;DisplayText&gt;(Dotson, 2018)&lt;/DisplayText&gt;&lt;record&gt;&lt;rec-number&gt;231&lt;/rec-number&gt;&lt;foreign-keys&gt;&lt;key app="EN" db-id="wtx9x9fxza9rpfetafo5axztvavvdtzzx55d" timestamp="1592840920" guid="3d326b28-ed76-4722-b7b9-ffa899c0b597"&gt;231&lt;/key&gt;&lt;/foreign-keys&gt;&lt;ref-type name="Journal Article"&gt;17&lt;/ref-type&gt;&lt;contributors&gt;&lt;authors&gt;&lt;author&gt;Dotson, Kristie&lt;/author&gt;&lt;/authors&gt;&lt;/contributors&gt;&lt;titles&gt;&lt;title&gt;Accumulating epistemic power: A problem with epistemology&lt;/title&gt;&lt;secondary-title&gt;philosophical topics&lt;/secondary-title&gt;&lt;/titles&gt;&lt;periodical&gt;&lt;full-title&gt;philosophical topics&lt;/full-title&gt;&lt;/periodical&gt;&lt;pages&gt;129-154&lt;/pages&gt;&lt;volume&gt;46&lt;/volume&gt;&lt;number&gt;1&lt;/number&gt;&lt;dates&gt;&lt;year&gt;2018&lt;/year&gt;&lt;/dates&gt;&lt;isbn&gt;0276-2080&lt;/isbn&gt;&lt;urls&gt;&lt;/urls&gt;&lt;/record&gt;&lt;/Cite&gt;&lt;/EndNote&gt;</w:instrText>
      </w:r>
      <w:r>
        <w:fldChar w:fldCharType="separate"/>
      </w:r>
      <w:r>
        <w:rPr>
          <w:noProof/>
        </w:rPr>
        <w:t>(</w:t>
      </w:r>
      <w:hyperlink w:anchor="_ENREF_12" w:tooltip="Dotson, 2018 #231" w:history="1">
        <w:r>
          <w:rPr>
            <w:noProof/>
          </w:rPr>
          <w:t>Dotson, 2018</w:t>
        </w:r>
      </w:hyperlink>
      <w:r>
        <w:rPr>
          <w:noProof/>
        </w:rPr>
        <w:t>)</w:t>
      </w:r>
      <w:r>
        <w:fldChar w:fldCharType="end"/>
      </w:r>
      <w:r>
        <w:t>.</w:t>
      </w:r>
    </w:p>
  </w:footnote>
  <w:footnote w:id="30">
    <w:p w14:paraId="7FF40381"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&lt;EndNote&gt;&lt;Cite&gt;&lt;Author&gt;Haslanger&lt;/Author&gt;&lt;Year&gt;2000&lt;/Year&gt;&lt;RecNum&gt;221&lt;/RecNum&gt;&lt;DisplayText&gt;(Haslanger, 2000)&lt;/DisplayText&gt;&lt;record&gt;&lt;rec-number&gt;221&lt;/rec-number&gt;&lt;foreign-keys&gt;&lt;key app="EN" db-id="wtx9x9fxza9rpfetafo5axztvavvdtzzx55d" timestamp="1592840883" guid="a5a841d8-2b40-405f-bd65-3f6a29418bcc"&gt;221&lt;/key&gt;&lt;/foreign-keys&gt;&lt;ref-type name="Journal Article"&gt;17&lt;/ref-type&gt;&lt;contributors&gt;&lt;authors&gt;&lt;author&gt;Haslanger, Sally&lt;/author&gt;&lt;/authors&gt;&lt;/contributors&gt;&lt;titles&gt;&lt;title&gt;Gender and race:(What) are they?(What) do we want them to be?&lt;/title&gt;&lt;secondary-title&gt;Noûs&lt;/secondary-title&gt;&lt;/titles&gt;&lt;periodical&gt;&lt;full-title&gt;Noûs&lt;/full-title&gt;&lt;/periodical&gt;&lt;pages&gt;31-55&lt;/pages&gt;&lt;volume&gt;34&lt;/volume&gt;&lt;number&gt;1&lt;/number&gt;&lt;dates&gt;&lt;year&gt;2000&lt;/year&gt;&lt;/dates&gt;&lt;isbn&gt;0029-4624&lt;/isbn&gt;&lt;urls&gt;&lt;/urls&gt;&lt;/record&gt;&lt;/Cite&gt;&lt;/EndNote&gt;</w:instrText>
      </w:r>
      <w:r>
        <w:fldChar w:fldCharType="separate"/>
      </w:r>
      <w:r>
        <w:rPr>
          <w:noProof/>
        </w:rPr>
        <w:t>(</w:t>
      </w:r>
      <w:hyperlink w:anchor="_ENREF_20" w:tooltip="Haslanger, 2000 #221" w:history="1">
        <w:r>
          <w:rPr>
            <w:noProof/>
          </w:rPr>
          <w:t>Haslanger, 2000</w:t>
        </w:r>
      </w:hyperlink>
      <w:r>
        <w:rPr>
          <w:noProof/>
        </w:rPr>
        <w:t>)</w:t>
      </w:r>
      <w:r>
        <w:fldChar w:fldCharType="end"/>
      </w:r>
      <w:r>
        <w:t xml:space="preserve">, </w:t>
      </w:r>
      <w:r>
        <w:fldChar w:fldCharType="begin"/>
      </w:r>
      <w:r>
        <w:instrText xml:space="preserve"> ADDIN EN.CITE &lt;EndNote&gt;&lt;Cite&gt;&lt;Author&gt;Burgess&lt;/Author&gt;&lt;Year&gt;2013&lt;/Year&gt;&lt;RecNum&gt;192&lt;/RecNum&gt;&lt;DisplayText&gt;(Burgess &amp;amp; Plunkett, 2013a, 2013b)&lt;/DisplayText&gt;&lt;record&gt;&lt;rec-number&gt;192&lt;/rec-number&gt;&lt;foreign-keys&gt;&lt;key app="EN" db-id="wtx9x9fxza9rpfetafo5axztvavvdtzzx55d" timestamp="1592838474" guid="a8fd8122-47cc-4b71-9d8f-e7b6343e0032"&gt;192&lt;/key&gt;&lt;/foreign-keys&gt;&lt;ref-type name="Journal Article"&gt;17&lt;/ref-type&gt;&lt;contributors&gt;&lt;authors&gt;&lt;author&gt;Burgess, Alexis&lt;/author&gt;&lt;author&gt;Plunkett, David&lt;/author&gt;&lt;/authors&gt;&lt;/contributors&gt;&lt;titles&gt;&lt;title&gt;Conceptual Ethics II&lt;/title&gt;&lt;secondary-title&gt;Philosophy Compass&lt;/secondary-title&gt;&lt;/titles&gt;&lt;periodical&gt;&lt;full-title&gt;Philosophy Compass&lt;/full-title&gt;&lt;/periodical&gt;&lt;pages&gt;1102-1110&lt;/pages&gt;&lt;volume&gt;8&lt;/volume&gt;&lt;number&gt;12&lt;/number&gt;&lt;dates&gt;&lt;year&gt;2013&lt;/year&gt;&lt;/dates&gt;&lt;urls&gt;&lt;/urls&gt;&lt;/record&gt;&lt;/Cite&gt;&lt;Cite&gt;&lt;Author&gt;Burgess&lt;/Author&gt;&lt;Year&gt;2013&lt;/Year&gt;&lt;RecNum&gt;228&lt;/RecNum&gt;&lt;record&gt;&lt;rec-number&gt;228&lt;/rec-number&gt;&lt;foreign-keys&gt;&lt;key app="EN" db-id="wtx9x9fxza9rpfetafo5axztvavvdtzzx55d" timestamp="1592840920" guid="78cd941e-bcac-4969-8d64-e2e075a3c14c"&gt;228&lt;/key&gt;&lt;/foreign-keys&gt;&lt;ref-type name="Journal Article"&gt;17&lt;/ref-type&gt;&lt;contributors&gt;&lt;authors&gt;&lt;author&gt;Burgess, Alexis&lt;/author&gt;&lt;author&gt;Plunkett, David&lt;/author&gt;&lt;/authors&gt;&lt;/contributors&gt;&lt;titles&gt;&lt;title&gt;Conceptual ethics I&lt;/title&gt;&lt;secondary-title&gt;Philosophy Compass&lt;/secondary-title&gt;&lt;/titles&gt;&lt;periodical&gt;&lt;full-title&gt;Philosophy Compass&lt;/full-title&gt;&lt;/periodical&gt;&lt;pages&gt;1091-1101&lt;/pages&gt;&lt;volume&gt;8&lt;/volume&gt;&lt;number&gt;12&lt;/number&gt;&lt;dates&gt;&lt;year&gt;2013&lt;/year&gt;&lt;/dates&gt;&lt;isbn&gt;1747-9991&lt;/isbn&gt;&lt;urls&gt;&lt;/urls&gt;&lt;/record&gt;&lt;/Cite&gt;&lt;/EndNote&gt;</w:instrText>
      </w:r>
      <w:r>
        <w:fldChar w:fldCharType="separate"/>
      </w:r>
      <w:r>
        <w:rPr>
          <w:noProof/>
        </w:rPr>
        <w:t>(</w:t>
      </w:r>
      <w:hyperlink w:anchor="_ENREF_5" w:tooltip="Burgess, 2013 #228" w:history="1">
        <w:r>
          <w:rPr>
            <w:noProof/>
          </w:rPr>
          <w:t>Burgess &amp; Plunkett, 2013a</w:t>
        </w:r>
      </w:hyperlink>
      <w:r>
        <w:rPr>
          <w:noProof/>
        </w:rPr>
        <w:t xml:space="preserve">, </w:t>
      </w:r>
      <w:hyperlink w:anchor="_ENREF_6" w:tooltip="Burgess, 2013 #192" w:history="1">
        <w:r>
          <w:rPr>
            <w:noProof/>
          </w:rPr>
          <w:t>2013b</w:t>
        </w:r>
      </w:hyperlink>
      <w:r>
        <w:rPr>
          <w:noProof/>
        </w:rPr>
        <w:t>)</w:t>
      </w:r>
      <w:r>
        <w:fldChar w:fldCharType="end"/>
      </w:r>
      <w:r>
        <w:t xml:space="preserve">, </w:t>
      </w:r>
      <w:r>
        <w:fldChar w:fldCharType="begin"/>
      </w:r>
      <w:r>
        <w:instrText xml:space="preserve"> ADDIN EN.CITE &lt;EndNote&gt;&lt;Cite&gt;&lt;Author&gt;Cappelen&lt;/Author&gt;&lt;Year&gt;2018&lt;/Year&gt;&lt;RecNum&gt;229&lt;/RecNum&gt;&lt;DisplayText&gt;(Cappelen, 2018)&lt;/DisplayText&gt;&lt;record&gt;&lt;rec-number&gt;229&lt;/rec-number&gt;&lt;foreign-keys&gt;&lt;key app="EN" db-id="wtx9x9fxza9rpfetafo5axztvavvdtzzx55d" timestamp="1592840920" guid="fa45a26a-f521-4c4e-b5f8-071bf0b6fe0d"&gt;229&lt;/key&gt;&lt;/foreign-keys&gt;&lt;ref-type name="Book"&gt;6&lt;/ref-type&gt;&lt;contributors&gt;&lt;authors&gt;&lt;author&gt;Cappelen, Herman&lt;/author&gt;&lt;/authors&gt;&lt;/contributors&gt;&lt;titles&gt;&lt;title&gt;Fixing language: An essay on conceptual engineering&lt;/title&gt;&lt;/titles&gt;&lt;dates&gt;&lt;year&gt;2018&lt;/year&gt;&lt;/dates&gt;&lt;publisher&gt;Oxford University Press&lt;/publisher&gt;&lt;isbn&gt;0192546287&lt;/isbn&gt;&lt;urls&gt;&lt;/urls&gt;&lt;/record&gt;&lt;/Cite&gt;&lt;/EndNote&gt;</w:instrText>
      </w:r>
      <w:r>
        <w:fldChar w:fldCharType="separate"/>
      </w:r>
      <w:r>
        <w:rPr>
          <w:noProof/>
        </w:rPr>
        <w:t>(</w:t>
      </w:r>
      <w:hyperlink w:anchor="_ENREF_7" w:tooltip="Cappelen, 2018 #229" w:history="1">
        <w:r>
          <w:rPr>
            <w:noProof/>
          </w:rPr>
          <w:t>Cappelen, 2018</w:t>
        </w:r>
      </w:hyperlink>
      <w:r>
        <w:rPr>
          <w:noProof/>
        </w:rPr>
        <w:t>)</w:t>
      </w:r>
      <w:r>
        <w:fldChar w:fldCharType="end"/>
      </w:r>
    </w:p>
  </w:footnote>
  <w:footnote w:id="31">
    <w:p w14:paraId="4F3771E9" w14:textId="77777777" w:rsidR="00EC612A" w:rsidRDefault="00EC612A" w:rsidP="00EC612A">
      <w:pPr>
        <w:pStyle w:val="Footnote"/>
      </w:pPr>
      <w:r>
        <w:rPr>
          <w:vertAlign w:val="superscript"/>
        </w:rPr>
        <w:footnoteRef/>
      </w:r>
      <w:r>
        <w:t xml:space="preserve"> The Cognitivist View can however explain a lack of belief if it is due to norms or concepts that direct agents’ attention.</w:t>
      </w:r>
    </w:p>
  </w:footnote>
  <w:footnote w:id="32">
    <w:p w14:paraId="1D19CFD6"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&lt;EndNote&gt;&lt;Cite&gt;&lt;Author&gt;Shelby&lt;/Author&gt;&lt;Year&gt;2016&lt;/Year&gt;&lt;RecNum&gt;69&lt;/RecNum&gt;&lt;DisplayText&gt;(Shelby, 2016)&lt;/DisplayText&gt;&lt;record&gt;&lt;rec-number&gt;69&lt;/rec-number&gt;&lt;foreign-keys&gt;&lt;key app="EN" db-id="wtx9x9fxza9rpfetafo5axztvavvdtzzx55d" timestamp="1570112872" guid="6c8e1e6b-9b8c-4146-a14e-bd1939882af7"&gt;69&lt;/key&gt;&lt;/foreign-keys&gt;&lt;ref-type name="Book"&gt;6&lt;/ref-type&gt;&lt;contributors&gt;&lt;authors&gt;&lt;author&gt;Shelby, Tommie&lt;/author&gt;&lt;/authors&gt;&lt;/contributors&gt;&lt;titles&gt;&lt;title&gt;Dark ghettos: Injustice, dissent, and reform&lt;/title&gt;&lt;/titles&gt;&lt;dates&gt;&lt;year&gt;2016&lt;/year&gt;&lt;/dates&gt;&lt;publisher&gt;Harvard University Press&lt;/publisher&gt;&lt;isbn&gt;0674970500&lt;/isbn&gt;&lt;urls&gt;&lt;/urls&gt;&lt;/record&gt;&lt;/Cite&gt;&lt;/EndNote&gt;</w:instrText>
      </w:r>
      <w:r>
        <w:fldChar w:fldCharType="separate"/>
      </w:r>
      <w:r>
        <w:rPr>
          <w:noProof/>
        </w:rPr>
        <w:t>(</w:t>
      </w:r>
      <w:hyperlink w:anchor="_ENREF_46" w:tooltip="Shelby, 2016 #69" w:history="1">
        <w:r>
          <w:rPr>
            <w:noProof/>
          </w:rPr>
          <w:t>Shelby, 2016</w:t>
        </w:r>
      </w:hyperlink>
      <w:r>
        <w:rPr>
          <w:noProof/>
        </w:rPr>
        <w:t>)</w:t>
      </w:r>
      <w:r>
        <w:fldChar w:fldCharType="end"/>
      </w:r>
      <w:r>
        <w:t xml:space="preserve">, </w:t>
      </w:r>
      <w:r>
        <w:fldChar w:fldCharType="begin"/>
      </w:r>
      <w:r>
        <w:instrText xml:space="preserve"> ADDIN EN.CITE &lt;EndNote&gt;&lt;Cite&gt;&lt;Author&gt;Davidson&lt;/Author&gt;&lt;Year&gt;2018&lt;/Year&gt;&lt;RecNum&gt;139&lt;/RecNum&gt;&lt;DisplayText&gt;(Davidson &amp;amp; Kelly, 2018)&lt;/DisplayText&gt;&lt;record&gt;&lt;rec-number&gt;139&lt;/rec-number&gt;&lt;foreign-keys&gt;&lt;key app="EN" db-id="wtx9x9fxza9rpfetafo5axztvavvdtzzx55d" timestamp="1587584458" guid="0ae11e6e-4fd3-43f1-b1bf-d20a258fccbe"&gt;139&lt;/key&gt;&lt;/foreign-keys&gt;&lt;ref-type name="Journal Article"&gt;17&lt;/ref-type&gt;&lt;contributors&gt;&lt;authors&gt;&lt;author&gt;Davidson, Lacey J&lt;/author&gt;&lt;author&gt;Kelly, Daniel&lt;/author&gt;&lt;/authors&gt;&lt;/contributors&gt;&lt;titles&gt;&lt;title&gt;Minding the gap: Bias, soft structures, and the double life of social norms&lt;/title&gt;&lt;secondary-title&gt;Journal of Applied Philosophy&lt;/secondary-title&gt;&lt;/titles&gt;&lt;periodical&gt;&lt;full-title&gt;Journal of Applied Philosophy&lt;/full-title&gt;&lt;/periodical&gt;&lt;dates&gt;&lt;year&gt;2018&lt;/year&gt;&lt;/dates&gt;&lt;isbn&gt;0264-3758&lt;/isbn&gt;&lt;urls&gt;&lt;/urls&gt;&lt;/record&gt;&lt;/Cite&gt;&lt;/EndNote&gt;</w:instrText>
      </w:r>
      <w:r>
        <w:fldChar w:fldCharType="separate"/>
      </w:r>
      <w:r>
        <w:rPr>
          <w:noProof/>
        </w:rPr>
        <w:t>(</w:t>
      </w:r>
      <w:hyperlink w:anchor="_ENREF_11" w:tooltip="Davidson, 2018 #139" w:history="1">
        <w:r>
          <w:rPr>
            <w:noProof/>
          </w:rPr>
          <w:t>Davidson &amp; Kelly, 2018</w:t>
        </w:r>
      </w:hyperlink>
      <w:r>
        <w:rPr>
          <w:noProof/>
        </w:rPr>
        <w:t>)</w:t>
      </w:r>
      <w:r>
        <w:fldChar w:fldCharType="end"/>
      </w:r>
      <w:r>
        <w:t xml:space="preserve">, </w:t>
      </w:r>
      <w:r>
        <w:fldChar w:fldCharType="begin"/>
      </w:r>
      <w:r>
        <w:instrText xml:space="preserve"> ADDIN EN.CITE &lt;EndNote&gt;&lt;Cite&gt;&lt;Author&gt;Haslanger&lt;/Author&gt;&lt;Year&gt;2016&lt;/Year&gt;&lt;RecNum&gt;104&lt;/RecNum&gt;&lt;DisplayText&gt;(Haslanger, 2016)&lt;/DisplayText&gt;&lt;record&gt;&lt;rec-number&gt;104&lt;/rec-number&gt;&lt;foreign-keys&gt;&lt;key app="EN" db-id="wtx9x9fxza9rpfetafo5axztvavvdtzzx55d" timestamp="1576526043" guid="fd568198-e6f3-4e1c-b4b5-e089499b3847"&gt;104&lt;/key&gt;&lt;/foreign-keys&gt;&lt;ref-type name="Journal Article"&gt;17&lt;/ref-type&gt;&lt;contributors&gt;&lt;authors&gt;&lt;author&gt;Haslanger, Sally&lt;/author&gt;&lt;/authors&gt;&lt;/contributors&gt;&lt;titles&gt;&lt;title&gt;What is a (social) structural explanation?&lt;/title&gt;&lt;secondary-title&gt;Philosophical Studies&lt;/secondary-title&gt;&lt;/titles&gt;&lt;periodical&gt;&lt;full-title&gt;Philosophical Studies&lt;/full-title&gt;&lt;/periodical&gt;&lt;pages&gt;113-130&lt;/pages&gt;&lt;volume&gt;173&lt;/volume&gt;&lt;number&gt;1&lt;/number&gt;&lt;dates&gt;&lt;year&gt;2016&lt;/year&gt;&lt;/dates&gt;&lt;isbn&gt;0031-8116&lt;/isbn&gt;&lt;urls&gt;&lt;/urls&gt;&lt;/record&gt;&lt;/Cite&gt;&lt;/EndNote&gt;</w:instrText>
      </w:r>
      <w:r>
        <w:fldChar w:fldCharType="separate"/>
      </w:r>
      <w:r>
        <w:rPr>
          <w:noProof/>
        </w:rPr>
        <w:t>(</w:t>
      </w:r>
      <w:hyperlink w:anchor="_ENREF_25" w:tooltip="Haslanger, 2016 #104" w:history="1">
        <w:r>
          <w:rPr>
            <w:noProof/>
          </w:rPr>
          <w:t>Haslanger, 2016</w:t>
        </w:r>
      </w:hyperlink>
      <w:r>
        <w:rPr>
          <w:noProof/>
        </w:rPr>
        <w:t>)</w:t>
      </w:r>
      <w:r>
        <w:fldChar w:fldCharType="end"/>
      </w:r>
      <w:r>
        <w:t>.</w:t>
      </w:r>
    </w:p>
  </w:footnote>
  <w:footnote w:id="33">
    <w:p w14:paraId="02471691" w14:textId="77777777" w:rsidR="00EC612A" w:rsidRDefault="00EC612A" w:rsidP="00EC612A">
      <w:pPr>
        <w:pStyle w:val="Footnote"/>
      </w:pPr>
      <w:r>
        <w:rPr>
          <w:vertAlign w:val="superscript"/>
        </w:rPr>
        <w:footnoteRef/>
      </w:r>
      <w:r>
        <w:t xml:space="preserve"> </w:t>
      </w:r>
      <w:r>
        <w:fldChar w:fldCharType="begin">
          <w:fldData xml:space="preserve">PEVuZE5vdGU+PENpdGU+PEF1dGhvcj5IYXNsYW5nZXI8L0F1dGhvcj48WWVhcj4yMDA3PC9ZZWFy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=
</w:fldData>
        </w:fldChar>
      </w:r>
      <w:r>
        <w:instrText xml:space="preserve"> ADDIN EN.CITE </w:instrText>
      </w:r>
      <w:r>
        <w:fldChar w:fldCharType="begin">
          <w:fldData xml:space="preserve">PEVuZE5vdGU+PENpdGU+PEF1dGhvcj5IYXNsYW5nZXI8L0F1dGhvcj48WWVhcj4yMDA3PC9ZZWFy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=
</w:fldData>
        </w:fldChar>
      </w:r>
      <w:r>
        <w:instrText xml:space="preserve"> ADDIN EN.CITE.DATA </w:instrText>
      </w:r>
      <w:r>
        <w:fldChar w:fldCharType="end"/>
      </w:r>
      <w:r>
        <w:fldChar w:fldCharType="separate"/>
      </w:r>
      <w:r>
        <w:rPr>
          <w:noProof/>
        </w:rPr>
        <w:t>(</w:t>
      </w:r>
      <w:hyperlink w:anchor="_ENREF_22" w:tooltip="Haslanger, 2007 #185" w:history="1">
        <w:r>
          <w:rPr>
            <w:noProof/>
          </w:rPr>
          <w:t>Haslanger, 2007</w:t>
        </w:r>
      </w:hyperlink>
      <w:r>
        <w:rPr>
          <w:noProof/>
        </w:rPr>
        <w:t xml:space="preserve">, </w:t>
      </w:r>
      <w:hyperlink w:anchor="_ENREF_23" w:tooltip="Haslanger, 2011 #186" w:history="1">
        <w:r>
          <w:rPr>
            <w:noProof/>
          </w:rPr>
          <w:t>2011</w:t>
        </w:r>
      </w:hyperlink>
      <w:r>
        <w:rPr>
          <w:noProof/>
        </w:rPr>
        <w:t xml:space="preserve">, </w:t>
      </w:r>
      <w:hyperlink w:anchor="_ENREF_26" w:tooltip="Haslanger, 2017 #178" w:history="1">
        <w:r>
          <w:rPr>
            <w:noProof/>
          </w:rPr>
          <w:t>2017a</w:t>
        </w:r>
      </w:hyperlink>
      <w:r>
        <w:rPr>
          <w:noProof/>
        </w:rPr>
        <w:t xml:space="preserve">, </w:t>
      </w:r>
      <w:hyperlink w:anchor="_ENREF_27" w:tooltip="Haslanger, 2017 #63" w:history="1">
        <w:r>
          <w:rPr>
            <w:noProof/>
          </w:rPr>
          <w:t>2017b</w:t>
        </w:r>
      </w:hyperlink>
      <w:r>
        <w:rPr>
          <w:noProof/>
        </w:rPr>
        <w:t>)</w:t>
      </w:r>
      <w:r>
        <w:fldChar w:fldCharType="end"/>
      </w:r>
    </w:p>
  </w:footnote>
  <w:footnote w:id="34">
    <w:p w14:paraId="7C3979A3" w14:textId="77777777" w:rsidR="00EC612A" w:rsidRDefault="00EC612A" w:rsidP="00EC612A">
      <w:pPr>
        <w:pStyle w:val="Footnote"/>
      </w:pPr>
      <w:r>
        <w:rPr>
          <w:vertAlign w:val="superscript"/>
        </w:rPr>
        <w:footnoteRef/>
      </w:r>
      <w:r>
        <w:t xml:space="preserve"> The </w:t>
      </w:r>
      <w:r>
        <w:rPr>
          <w:i/>
        </w:rPr>
        <w:t>i</w:t>
      </w:r>
      <w:r>
        <w:t xml:space="preserve"> and </w:t>
      </w:r>
      <w:r>
        <w:rPr>
          <w:i/>
        </w:rPr>
        <w:t>j</w:t>
      </w:r>
      <w:r>
        <w:t xml:space="preserve"> indices are to accommodate the fact that there may be multiple social structures, each of which may be involved in multiple processes that help give rise to white racial domination.</w:t>
      </w:r>
    </w:p>
  </w:footnote>
  <w:footnote w:id="35">
    <w:p w14:paraId="43FC4E90"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&lt;EndNote&gt;&lt;Cite&gt;&lt;Author&gt;Need&lt;/Author&gt;&lt;Year&gt;2009&lt;/Year&gt;&lt;RecNum&gt;207&lt;/RecNum&gt;&lt;DisplayText&gt;(Need &amp;amp; Goldstein, 2009)&lt;/DisplayText&gt;&lt;record&gt;&lt;rec-number&gt;207&lt;/rec-number&gt;&lt;foreign-keys&gt;&lt;key app="EN" db-id="wtx9x9fxza9rpfetafo5axztvavvdtzzx55d" timestamp="1592840850" guid="e982303f-1cbd-4d77-8d3e-70a8386823ec"&gt;207&lt;/key&gt;&lt;/foreign-keys&gt;&lt;ref-type name="Journal Article"&gt;17&lt;/ref-type&gt;&lt;contributors&gt;&lt;authors&gt;&lt;author&gt;Need, Anna C&lt;/author&gt;&lt;author&gt;Goldstein, David B&lt;/author&gt;&lt;/authors&gt;&lt;/contributors&gt;&lt;titles&gt;&lt;title&gt;Next generation disparities in human genomics: concerns and remedies&lt;/title&gt;&lt;secondary-title&gt;Trends in Genetics&lt;/secondary-title&gt;&lt;/titles&gt;&lt;periodical&gt;&lt;full-title&gt;Trends in Genetics&lt;/full-title&gt;&lt;/periodical&gt;&lt;pages&gt;489-494&lt;/pages&gt;&lt;volume&gt;25&lt;/volume&gt;&lt;number&gt;11&lt;/number&gt;&lt;dates&gt;&lt;year&gt;2009&lt;/year&gt;&lt;/dates&gt;&lt;isbn&gt;0168-9525&lt;/isbn&gt;&lt;urls&gt;&lt;/urls&gt;&lt;/record&gt;&lt;/Cite&gt;&lt;/EndNote&gt;</w:instrText>
      </w:r>
      <w:r>
        <w:fldChar w:fldCharType="separate"/>
      </w:r>
      <w:r>
        <w:rPr>
          <w:noProof/>
        </w:rPr>
        <w:t>(</w:t>
      </w:r>
      <w:hyperlink w:anchor="_ENREF_39" w:tooltip="Need, 2009 #207" w:history="1">
        <w:r>
          <w:rPr>
            <w:noProof/>
          </w:rPr>
          <w:t>Need &amp; Goldstein, 2009</w:t>
        </w:r>
      </w:hyperlink>
      <w:r>
        <w:rPr>
          <w:noProof/>
        </w:rPr>
        <w:t>)</w:t>
      </w:r>
      <w:r>
        <w:fldChar w:fldCharType="end"/>
      </w:r>
      <w:r>
        <w:t xml:space="preserve">, </w:t>
      </w:r>
      <w:r>
        <w:fldChar w:fldCharType="begin"/>
      </w:r>
      <w:r>
        <w:instrText xml:space="preserve"> ADDIN EN.CITE &lt;EndNote&gt;&lt;Cite&gt;&lt;Author&gt;Popejoy&lt;/Author&gt;&lt;Year&gt;2016&lt;/Year&gt;&lt;RecNum&gt;212&lt;/RecNum&gt;&lt;DisplayText&gt;(Popejoy &amp;amp; Fullerton, 2016)&lt;/DisplayText&gt;&lt;record&gt;&lt;rec-number&gt;212&lt;/rec-number&gt;&lt;foreign-keys&gt;&lt;key app="EN" db-id="wtx9x9fxza9rpfetafo5axztvavvdtzzx55d" timestamp="1592840850" guid="49d543ae-2855-455b-bcb8-8748e61440da"&gt;212&lt;/key&gt;&lt;/foreign-keys&gt;&lt;ref-type name="Journal Article"&gt;17&lt;/ref-type&gt;&lt;contributors&gt;&lt;authors&gt;&lt;author&gt;Popejoy, Alice B&lt;/author&gt;&lt;author&gt;Fullerton, Stephanie M&lt;/author&gt;&lt;/authors&gt;&lt;/contributors&gt;&lt;titles&gt;&lt;title&gt;Genomics is failing on diversity&lt;/title&gt;&lt;secondary-title&gt;Nature News&lt;/secondary-title&gt;&lt;/titles&gt;&lt;periodical&gt;&lt;full-title&gt;Nature News&lt;/full-title&gt;&lt;/periodical&gt;&lt;pages&gt;161&lt;/pages&gt;&lt;volume&gt;538&lt;/volume&gt;&lt;number&gt;7624&lt;/number&gt;&lt;dates&gt;&lt;year&gt;2016&lt;/year&gt;&lt;/dates&gt;&lt;urls&gt;&lt;/urls&gt;&lt;/record&gt;&lt;/Cite&gt;&lt;/EndNote&gt;</w:instrText>
      </w:r>
      <w:r>
        <w:fldChar w:fldCharType="separate"/>
      </w:r>
      <w:r>
        <w:rPr>
          <w:noProof/>
        </w:rPr>
        <w:t>(</w:t>
      </w:r>
      <w:hyperlink w:anchor="_ENREF_42" w:tooltip="Popejoy, 2016 #212" w:history="1">
        <w:r>
          <w:rPr>
            <w:noProof/>
          </w:rPr>
          <w:t>Popejoy &amp; Fullerton, 2016</w:t>
        </w:r>
      </w:hyperlink>
      <w:r>
        <w:rPr>
          <w:noProof/>
        </w:rPr>
        <w:t>)</w:t>
      </w:r>
      <w:r>
        <w:fldChar w:fldCharType="end"/>
      </w:r>
      <w:r>
        <w:t>.</w:t>
      </w:r>
    </w:p>
  </w:footnote>
  <w:footnote w:id="36">
    <w:p w14:paraId="415ECDE4"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&lt;EndNote&gt;&lt;Cite&gt;&lt;Author&gt;Popejoy&lt;/Author&gt;&lt;Year&gt;2016&lt;/Year&gt;&lt;RecNum&gt;212&lt;/RecNum&gt;&lt;DisplayText&gt;(Popejoy &amp;amp; Fullerton, 2016)&lt;/DisplayText&gt;&lt;record&gt;&lt;rec-number&gt;212&lt;/rec-number&gt;&lt;foreign-keys&gt;&lt;key app="EN" db-id="wtx9x9fxza9rpfetafo5axztvavvdtzzx55d" timestamp="1592840850" guid="49d543ae-2855-455b-bcb8-8748e61440da"&gt;212&lt;/key&gt;&lt;/foreign-keys&gt;&lt;ref-type name="Journal Article"&gt;17&lt;/ref-type&gt;&lt;contributors&gt;&lt;authors&gt;&lt;author&gt;Popejoy, Alice B&lt;/author&gt;&lt;author&gt;Fullerton, Stephanie M&lt;/author&gt;&lt;/authors&gt;&lt;/contributors&gt;&lt;titles&gt;&lt;title&gt;Genomics is failing on diversity&lt;/title&gt;&lt;secondary-title&gt;Nature News&lt;/secondary-title&gt;&lt;/titles&gt;&lt;periodical&gt;&lt;full-title&gt;Nature News&lt;/full-title&gt;&lt;/periodical&gt;&lt;pages&gt;161&lt;/pages&gt;&lt;volume&gt;538&lt;/volume&gt;&lt;number&gt;7624&lt;/number&gt;&lt;dates&gt;&lt;year&gt;2016&lt;/year&gt;&lt;/dates&gt;&lt;urls&gt;&lt;/urls&gt;&lt;/record&gt;&lt;/Cite&gt;&lt;/EndNote&gt;</w:instrText>
      </w:r>
      <w:r>
        <w:fldChar w:fldCharType="separate"/>
      </w:r>
      <w:r>
        <w:rPr>
          <w:noProof/>
        </w:rPr>
        <w:t>(</w:t>
      </w:r>
      <w:hyperlink w:anchor="_ENREF_42" w:tooltip="Popejoy, 2016 #212" w:history="1">
        <w:r>
          <w:rPr>
            <w:noProof/>
          </w:rPr>
          <w:t>Popejoy &amp; Fullerton, 2016</w:t>
        </w:r>
      </w:hyperlink>
      <w:r>
        <w:rPr>
          <w:noProof/>
        </w:rPr>
        <w:t>)</w:t>
      </w:r>
      <w:r>
        <w:fldChar w:fldCharType="end"/>
      </w:r>
      <w:r>
        <w:t>.</w:t>
      </w:r>
    </w:p>
  </w:footnote>
  <w:footnote w:id="37">
    <w:p w14:paraId="6D0D8D06" w14:textId="77777777" w:rsidR="00EC612A" w:rsidRDefault="00EC612A" w:rsidP="00EC612A">
      <w:pPr>
        <w:pStyle w:val="Footnote"/>
      </w:pPr>
      <w:r>
        <w:rPr>
          <w:vertAlign w:val="superscript"/>
        </w:rPr>
        <w:footnoteRef/>
      </w:r>
      <w:r>
        <w:t xml:space="preserve"> Consider the infamous Tuskegee Syphilis Study and the case of Henrietta Lacks </w:t>
      </w:r>
      <w:r>
        <w:fldChar w:fldCharType="begin"/>
      </w:r>
      <w:r>
        <w:instrText xml:space="preserve"> ADDIN EN.CITE &lt;EndNote&gt;&lt;Cite&gt;&lt;Author&gt;Gray&lt;/Author&gt;&lt;Year&gt;1998&lt;/Year&gt;&lt;RecNum&gt;218&lt;/RecNum&gt;&lt;DisplayText&gt;(Gray, 1998)&lt;/DisplayText&gt;&lt;record&gt;&lt;rec-number&gt;218&lt;/rec-number&gt;&lt;foreign-keys&gt;&lt;key app="EN" db-id="wtx9x9fxza9rpfetafo5axztvavvdtzzx55d" timestamp="1592840883" guid="6795711c-ddf1-4a0c-8658-a5b853944b4b"&gt;218&lt;/key&gt;&lt;/foreign-keys&gt;&lt;ref-type name="Book"&gt;6&lt;/ref-type&gt;&lt;contributors&gt;&lt;authors&gt;&lt;author&gt;Gray, Fred D&lt;/author&gt;&lt;/authors&gt;&lt;/contributors&gt;&lt;titles&gt;&lt;title&gt;The Tuskegee syphilis study: The real story and beyond&lt;/title&gt;&lt;/titles&gt;&lt;dates&gt;&lt;year&gt;1998&lt;/year&gt;&lt;/dates&gt;&lt;publisher&gt;NewSouth Books&lt;/publisher&gt;&lt;isbn&gt;1588380890&lt;/isbn&gt;&lt;urls&gt;&lt;/urls&gt;&lt;/record&gt;&lt;/Cite&gt;&lt;/EndNote&gt;</w:instrText>
      </w:r>
      <w:r>
        <w:fldChar w:fldCharType="separate"/>
      </w:r>
      <w:r>
        <w:rPr>
          <w:noProof/>
        </w:rPr>
        <w:t>(</w:t>
      </w:r>
      <w:hyperlink w:anchor="_ENREF_19" w:tooltip="Gray, 1998 #218" w:history="1">
        <w:r>
          <w:rPr>
            <w:noProof/>
          </w:rPr>
          <w:t>Gray, 1998</w:t>
        </w:r>
      </w:hyperlink>
      <w:r>
        <w:rPr>
          <w:noProof/>
        </w:rPr>
        <w:t>)</w:t>
      </w:r>
      <w:r>
        <w:fldChar w:fldCharType="end"/>
      </w:r>
      <w:r>
        <w:t xml:space="preserve">, </w:t>
      </w:r>
      <w:r>
        <w:fldChar w:fldCharType="begin"/>
      </w:r>
      <w:r>
        <w:instrText xml:space="preserve"> ADDIN EN.CITE &lt;EndNote&gt;&lt;Cite&gt;&lt;Author&gt;Skloot&lt;/Author&gt;&lt;Year&gt;2013&lt;/Year&gt;&lt;RecNum&gt;269&lt;/RecNum&gt;&lt;DisplayText&gt;(Skloot, 2013)&lt;/DisplayText&gt;&lt;record&gt;&lt;rec-number&gt;269&lt;/rec-number&gt;&lt;foreign-keys&gt;&lt;key app="EN" db-id="wtx9x9fxza9rpfetafo5axztvavvdtzzx55d" timestamp="1592933150" guid="26cd037b-59c7-4a1a-82c3-a5e441de1c01"&gt;269&lt;/key&gt;&lt;/foreign-keys&gt;&lt;ref-type name="Journal Article"&gt;17&lt;/ref-type&gt;&lt;contributors&gt;&lt;authors&gt;&lt;author&gt;Skloot, Rebecca&lt;/author&gt;&lt;/authors&gt;&lt;/contributors&gt;&lt;titles&gt;&lt;title&gt;The immortal life of Henrietta Lacks, the sequel&lt;/title&gt;&lt;secondary-title&gt;New York Times&lt;/secondary-title&gt;&lt;/titles&gt;&lt;periodical&gt;&lt;full-title&gt;New York Times&lt;/full-title&gt;&lt;/periodical&gt;&lt;volume&gt;23&lt;/volume&gt;&lt;dates&gt;&lt;year&gt;2013&lt;/year&gt;&lt;/dates&gt;&lt;urls&gt;&lt;/urls&gt;&lt;/record&gt;&lt;/Cite&gt;&lt;/EndNote&gt;</w:instrText>
      </w:r>
      <w:r>
        <w:fldChar w:fldCharType="separate"/>
      </w:r>
      <w:r>
        <w:rPr>
          <w:noProof/>
        </w:rPr>
        <w:t>(</w:t>
      </w:r>
      <w:hyperlink w:anchor="_ENREF_47" w:tooltip="Skloot, 2013 #269" w:history="1">
        <w:r>
          <w:rPr>
            <w:noProof/>
          </w:rPr>
          <w:t>Skloot, 2013</w:t>
        </w:r>
      </w:hyperlink>
      <w:r>
        <w:rPr>
          <w:noProof/>
        </w:rPr>
        <w:t>)</w:t>
      </w:r>
      <w:r>
        <w:fldChar w:fldCharType="end"/>
      </w:r>
      <w:r>
        <w:t>.</w:t>
      </w:r>
    </w:p>
  </w:footnote>
  <w:footnote w:id="38">
    <w:p w14:paraId="3BE82048"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&lt;EndNote&gt;&lt;Cite&gt;&lt;Author&gt;Bailey&lt;/Author&gt;&lt;Year&gt;2017&lt;/Year&gt;&lt;RecNum&gt;276&lt;/RecNum&gt;&lt;DisplayText&gt;(Bailey, 2017)&lt;/DisplayText&gt;&lt;record&gt;&lt;rec-number&gt;276&lt;/rec-number&gt;&lt;foreign-keys&gt;&lt;key app="EN" db-id="wtx9x9fxza9rpfetafo5axztvavvdtzzx55d" timestamp="1596641874" guid="fc68ac08-dfd4-4354-9f4b-df673d3acbbb"&gt;276&lt;/key&gt;&lt;/foreign-keys&gt;&lt;ref-type name="Journal Article"&gt;17&lt;/ref-type&gt;&lt;contributors&gt;&lt;authors&gt;&lt;author&gt;Bailey, Alison&lt;/author&gt;&lt;/authors&gt;&lt;/contributors&gt;&lt;titles&gt;&lt;title&gt;Tracking Privilege</w:instrText>
      </w:r>
      <w:r>
        <w:rPr>
          <w:rFonts w:ascii="Palatino Linotype" w:hAnsi="Palatino Linotype" w:cs="Palatino Linotype"/>
        </w:rPr>
        <w:instrText>‐</w:instrText>
      </w:r>
      <w:r>
        <w:instrText>Preserving Epistemic Pushback in Feminist and Critical Race Philosophy Classes&lt;/title&gt;&lt;secondary-title&gt;Hypatia&lt;/secondary-title&gt;&lt;/titles&gt;&lt;periodical&gt;&lt;full-title&gt;Hypatia&lt;/full-title&gt;&lt;/periodical&gt;&lt;pages&gt;876-892&lt;/pages&gt;&lt;volume&gt;32&lt;/volume&gt;&lt;number&gt;4&lt;/number&gt;&lt;dates&gt;&lt;year&gt;2017&lt;/year&gt;&lt;/dates&gt;&lt;isbn&gt;0887-5367&lt;/isbn&gt;&lt;urls&gt;&lt;/urls&gt;&lt;/record&gt;&lt;/Cite&gt;&lt;/EndNote&gt;</w:instrText>
      </w:r>
      <w:r>
        <w:fldChar w:fldCharType="separate"/>
      </w:r>
      <w:r>
        <w:rPr>
          <w:noProof/>
        </w:rPr>
        <w:t>(</w:t>
      </w:r>
      <w:hyperlink w:anchor="_ENREF_3" w:tooltip="Bailey, 2017 #276" w:history="1">
        <w:r>
          <w:rPr>
            <w:noProof/>
          </w:rPr>
          <w:t>Bailey, 2017</w:t>
        </w:r>
      </w:hyperlink>
      <w:r>
        <w:rPr>
          <w:noProof/>
        </w:rPr>
        <w:t>)</w:t>
      </w:r>
      <w:r>
        <w:fldChar w:fldCharType="end"/>
      </w:r>
      <w:r>
        <w:t xml:space="preserve">, </w:t>
      </w:r>
      <w:r>
        <w:fldChar w:fldCharType="begin"/>
      </w:r>
      <w:r>
        <w:instrText xml:space="preserve"> ADDIN EN.CITE &lt;EndNote&gt;&lt;Cite&gt;&lt;Author&gt;Medina&lt;/Author&gt;&lt;Year&gt;2013&lt;/Year&gt;&lt;RecNum&gt;174&lt;/RecNum&gt;&lt;Pages&gt;57-58&lt;/Pages&gt;&lt;DisplayText&gt;(Medina, 2013, pp. 57-58)&lt;/DisplayText&gt;&lt;record&gt;&lt;rec-number&gt;174&lt;/rec-number&gt;&lt;foreign-keys&gt;&lt;key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fldChar w:fldCharType="separate"/>
      </w:r>
      <w:r>
        <w:rPr>
          <w:noProof/>
        </w:rPr>
        <w:t>(</w:t>
      </w:r>
      <w:hyperlink w:anchor="_ENREF_34" w:tooltip="Medina, 2013 #174" w:history="1">
        <w:r>
          <w:rPr>
            <w:noProof/>
          </w:rPr>
          <w:t>Medina, 2013, pp. 57-58</w:t>
        </w:r>
      </w:hyperlink>
      <w:r>
        <w:rPr>
          <w:noProof/>
        </w:rPr>
        <w:t>)</w:t>
      </w:r>
      <w:r>
        <w:fldChar w:fldCharType="end"/>
      </w:r>
      <w:r>
        <w:t xml:space="preserve">, </w:t>
      </w:r>
      <w:r>
        <w:fldChar w:fldCharType="begin"/>
      </w:r>
      <w:r>
        <w:instrText xml:space="preserve"> ADDIN EN.CITE &lt;EndNote&gt;&lt;Cite&gt;&lt;Author&gt;Woomer&lt;/Author&gt;&lt;Year&gt;2019&lt;/Year&gt;&lt;RecNum&gt;175&lt;/RecNum&gt;&lt;Pages&gt;2&lt;/Pages&gt;&lt;DisplayText&gt;(Woomer, 2019, p. 2)&lt;/DisplayText&gt;&lt;record&gt;&lt;rec-number&gt;175&lt;/rec-number&gt;&lt;foreign-keys&gt;&lt;key app="EN" db-id="wtx9x9fxza9rpfetafo5axztvavvdtzzx55d" timestamp="1588352763" guid="012ff828-c39e-4908-8625-560a7d3edc35"&gt;175&lt;/key&gt;&lt;/foreign-keys&gt;&lt;ref-type name="Journal Article"&gt;17&lt;/ref-type&gt;&lt;contributors&gt;&lt;authors&gt;&lt;author&gt;Woomer, Lauren&lt;/author&gt;&lt;/authors&gt;&lt;/contributors&gt;&lt;titles&gt;&lt;title&gt;Agential Insensitivity and Socially Supported Ignorance&lt;/title&gt;&lt;secondary-title&gt;Episteme&lt;/secondary-title&gt;&lt;/titles&gt;&lt;periodical&gt;&lt;full-title&gt;Episteme&lt;/full-title&gt;&lt;/periodical&gt;&lt;pages&gt;73-91&lt;/pages&gt;&lt;volume&gt;16&lt;/volume&gt;&lt;number&gt;1&lt;/number&gt;&lt;dates&gt;&lt;year&gt;2019&lt;/year&gt;&lt;/dates&gt;&lt;isbn&gt;1742-3600&lt;/isbn&gt;&lt;urls&gt;&lt;/urls&gt;&lt;/record&gt;&lt;/Cite&gt;&lt;/EndNote&gt;</w:instrText>
      </w:r>
      <w:r>
        <w:fldChar w:fldCharType="separate"/>
      </w:r>
      <w:r>
        <w:rPr>
          <w:noProof/>
        </w:rPr>
        <w:t>(</w:t>
      </w:r>
      <w:hyperlink w:anchor="_ENREF_54" w:tooltip="Woomer, 2019 #175" w:history="1">
        <w:r>
          <w:rPr>
            <w:noProof/>
          </w:rPr>
          <w:t>Woomer, 2019, p. 2</w:t>
        </w:r>
      </w:hyperlink>
      <w:r>
        <w:rPr>
          <w:noProof/>
        </w:rPr>
        <w:t>)</w:t>
      </w:r>
      <w:r>
        <w:fldChar w:fldCharType="end"/>
      </w:r>
      <w:r>
        <w:t>.</w:t>
      </w:r>
    </w:p>
  </w:footnote>
  <w:footnote w:id="39">
    <w:p w14:paraId="532B42CC"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&lt;EndNote&gt;&lt;Cite&gt;&lt;Author&gt;Young&lt;/Author&gt;&lt;Year&gt;2006&lt;/Year&gt;&lt;RecNum&gt;123&lt;/RecNum&gt;&lt;DisplayText&gt;(Young, 2006)&lt;/DisplayText&gt;&lt;record&gt;&lt;rec-number&gt;123&lt;/rec-number&gt;&lt;foreign-keys&gt;&lt;key app="EN" db-id="wtx9x9fxza9rpfetafo5axztvavvdtzzx55d" timestamp="1581791871" guid="59e0ae23-1628-4846-9a25-51c4e27cb8a6"&gt;123&lt;/key&gt;&lt;/foreign-keys&gt;&lt;ref-type name="Journal Article"&gt;17&lt;/ref-type&gt;&lt;contributors&gt;&lt;authors&gt;&lt;author&gt;Young, Iris Marion&lt;/author&gt;&lt;/authors&gt;&lt;/contributors&gt;&lt;titles&gt;&lt;title&gt;Responsibility and global justice: A social connection model&lt;/title&gt;&lt;secondary-title&gt;Social philosophy and policy&lt;/secondary-title&gt;&lt;/titles&gt;&lt;periodical&gt;&lt;full-title&gt;Social philosophy and policy&lt;/full-title&gt;&lt;/periodical&gt;&lt;pages&gt;102-130&lt;/pages&gt;&lt;volume&gt;23&lt;/volume&gt;&lt;number&gt;1&lt;/number&gt;&lt;dates&gt;&lt;year&gt;2006&lt;/year&gt;&lt;/dates&gt;&lt;isbn&gt;1471-6437&lt;/isbn&gt;&lt;urls&gt;&lt;/urls&gt;&lt;/record&gt;&lt;/Cite&gt;&lt;/EndNote&gt;</w:instrText>
      </w:r>
      <w:r>
        <w:fldChar w:fldCharType="separate"/>
      </w:r>
      <w:r>
        <w:rPr>
          <w:noProof/>
        </w:rPr>
        <w:t>(</w:t>
      </w:r>
      <w:hyperlink w:anchor="_ENREF_55" w:tooltip="Young, 2006 #123" w:history="1">
        <w:r>
          <w:rPr>
            <w:noProof/>
          </w:rPr>
          <w:t>Young, 2006</w:t>
        </w:r>
      </w:hyperlink>
      <w:r>
        <w:rPr>
          <w:noProof/>
        </w:rPr>
        <w:t>)</w:t>
      </w:r>
      <w:r>
        <w:fldChar w:fldCharType="end"/>
      </w:r>
      <w:r>
        <w:t xml:space="preserve">, </w:t>
      </w:r>
      <w:r>
        <w:fldChar w:fldCharType="begin"/>
      </w:r>
      <w:r>
        <w:instrText xml:space="preserve"> ADDIN EN.CITE &lt;EndNote&gt;&lt;Cite&gt;&lt;Author&gt;Zheng&lt;/Author&gt;&lt;Year&gt;2018&lt;/Year&gt;&lt;RecNum&gt;71&lt;/RecNum&gt;&lt;DisplayText&gt;(Zheng, 2018a, 2018b)&lt;/DisplayText&gt;&lt;record&gt;&lt;rec-number&gt;71&lt;/rec-number&gt;&lt;foreign-keys&gt;&lt;key app="EN" db-id="wtx9x9fxza9rpfetafo5axztvavvdtzzx55d" timestamp="1570112872" guid="72568ce3-a40b-4cbc-ba01-66cde6847201"&gt;71&lt;/key&gt;&lt;/foreign-keys&gt;&lt;ref-type name="Journal Article"&gt;17&lt;/ref-type&gt;&lt;contributors&gt;&lt;authors&gt;&lt;author&gt;Zheng, Robin&lt;/author&gt;&lt;/authors&gt;&lt;/contributors&gt;&lt;titles&gt;&lt;title&gt;What is My Role in Changing the System? A New Model of Responsibility for Structural Injustice&lt;/title&gt;&lt;secondary-title&gt;Ethical Theory and Moral Practice&lt;/secondary-title&gt;&lt;/titles&gt;&lt;periodical&gt;&lt;full-title&gt;Ethical Theory and Moral Practice&lt;/full-title&gt;&lt;/periodical&gt;&lt;pages&gt;869-885&lt;/pages&gt;&lt;volume&gt;21&lt;/volume&gt;&lt;number&gt;4&lt;/number&gt;&lt;dates&gt;&lt;year&gt;2018&lt;/year&gt;&lt;/dates&gt;&lt;isbn&gt;1386-2820&lt;/isbn&gt;&lt;urls&gt;&lt;/urls&gt;&lt;/record&gt;&lt;/Cite&gt;&lt;Cite&gt;&lt;Author&gt;Zheng&lt;/Author&gt;&lt;Year&gt;2018&lt;/Year&gt;&lt;RecNum&gt;203&lt;/RecNum&gt;&lt;record&gt;&lt;rec-number&gt;203&lt;/rec-number&gt;&lt;foreign-keys&gt;&lt;key app="EN" db-id="wtx9x9fxza9rpfetafo5axztvavvdtzzx55d" timestamp="1592840813" guid="79e004cf-b493-4267-9f5a-a332c566c931"&gt;203&lt;/key&gt;&lt;/foreign-keys&gt;&lt;ref-type name="Journal Article"&gt;17&lt;/ref-type&gt;&lt;contributors&gt;&lt;authors&gt;&lt;author&gt;Zheng, Robin&lt;/author&gt;&lt;/authors&gt;&lt;/contributors&gt;&lt;titles&gt;&lt;title&gt;Bias, structure, and injustice: a reply to Haslanger&lt;/title&gt;&lt;secondary-title&gt;Feminist Philosophy Quarterly&lt;/secondary-title&gt;&lt;/titles&gt;&lt;periodical&gt;&lt;full-title&gt;Feminist Philosophy Quarterly&lt;/full-title&gt;&lt;/periodical&gt;&lt;volume&gt;4&lt;/volume&gt;&lt;number&gt;1&lt;/number&gt;&lt;dates&gt;&lt;year&gt;2018&lt;/year&gt;&lt;/dates&gt;&lt;isbn&gt;2371-2570&lt;/isbn&gt;&lt;urls&gt;&lt;/urls&gt;&lt;/record&gt;&lt;/Cite&gt;&lt;/EndNote&gt;</w:instrText>
      </w:r>
      <w:r>
        <w:fldChar w:fldCharType="separate"/>
      </w:r>
      <w:r>
        <w:rPr>
          <w:noProof/>
        </w:rPr>
        <w:t>(</w:t>
      </w:r>
      <w:hyperlink w:anchor="_ENREF_56" w:tooltip="Zheng, 2018 #203" w:history="1">
        <w:r>
          <w:rPr>
            <w:noProof/>
          </w:rPr>
          <w:t>Zheng, 2018a</w:t>
        </w:r>
      </w:hyperlink>
      <w:r>
        <w:rPr>
          <w:noProof/>
        </w:rPr>
        <w:t xml:space="preserve">, </w:t>
      </w:r>
      <w:hyperlink w:anchor="_ENREF_57" w:tooltip="Zheng, 2018 #71" w:history="1">
        <w:r>
          <w:rPr>
            <w:noProof/>
          </w:rPr>
          <w:t>2018b</w:t>
        </w:r>
      </w:hyperlink>
      <w:r>
        <w:rPr>
          <w:noProof/>
        </w:rPr>
        <w:t>)</w:t>
      </w:r>
      <w:r>
        <w:fldChar w:fldCharType="end"/>
      </w:r>
    </w:p>
  </w:footnote>
  <w:footnote w:id="40">
    <w:p w14:paraId="3DAE6161"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&lt;EndNote&gt;&lt;Cite&gt;&lt;Author&gt;Young&lt;/Author&gt;&lt;Year&gt;2006&lt;/Year&gt;&lt;RecNum&gt;123&lt;/RecNum&gt;&lt;DisplayText&gt;(Young, 2006)&lt;/DisplayText&gt;&lt;record&gt;&lt;rec-number&gt;123&lt;/rec-number&gt;&lt;foreign-keys&gt;&lt;key app="EN" db-id="wtx9x9fxza9rpfetafo5axztvavvdtzzx55d" timestamp="1581791871" guid="59e0ae23-1628-4846-9a25-51c4e27cb8a6"&gt;123&lt;/key&gt;&lt;/foreign-keys&gt;&lt;ref-type name="Journal Article"&gt;17&lt;/ref-type&gt;&lt;contributors&gt;&lt;authors&gt;&lt;author&gt;Young, Iris Marion&lt;/author&gt;&lt;/authors&gt;&lt;/contributors&gt;&lt;titles&gt;&lt;title&gt;Responsibility and global justice: A social connection model&lt;/title&gt;&lt;secondary-title&gt;Social philosophy and policy&lt;/secondary-title&gt;&lt;/titles&gt;&lt;periodical&gt;&lt;full-title&gt;Social philosophy and policy&lt;/full-title&gt;&lt;/periodical&gt;&lt;pages&gt;102-130&lt;/pages&gt;&lt;volume&gt;23&lt;/volume&gt;&lt;number&gt;1&lt;/number&gt;&lt;dates&gt;&lt;year&gt;2006&lt;/year&gt;&lt;/dates&gt;&lt;isbn&gt;1471-6437&lt;/isbn&gt;&lt;urls&gt;&lt;/urls&gt;&lt;/record&gt;&lt;/Cite&gt;&lt;/EndNote&gt;</w:instrText>
      </w:r>
      <w:r>
        <w:fldChar w:fldCharType="separate"/>
      </w:r>
      <w:r>
        <w:rPr>
          <w:noProof/>
        </w:rPr>
        <w:t>(</w:t>
      </w:r>
      <w:hyperlink w:anchor="_ENREF_55" w:tooltip="Young, 2006 #123" w:history="1">
        <w:r>
          <w:rPr>
            <w:noProof/>
          </w:rPr>
          <w:t>Young, 2006</w:t>
        </w:r>
      </w:hyperlink>
      <w:r>
        <w:rPr>
          <w:noProof/>
        </w:rPr>
        <w:t>)</w:t>
      </w:r>
      <w:r>
        <w:fldChar w:fldCharType="end"/>
      </w:r>
      <w:r>
        <w:t xml:space="preserve">, </w:t>
      </w:r>
      <w:r>
        <w:fldChar w:fldCharType="begin"/>
      </w:r>
      <w:r>
        <w:instrText xml:space="preserve"> ADDIN EN.CITE &lt;EndNote&gt;&lt;Cite&gt;&lt;Author&gt;Medina&lt;/Author&gt;&lt;Year&gt;2013&lt;/Year&gt;&lt;RecNum&gt;174&lt;/RecNum&gt;&lt;DisplayText&gt;(Medina, 2013)&lt;/DisplayText&gt;&lt;record&gt;&lt;rec-number&gt;174&lt;/rec-number&gt;&lt;foreign-keys&gt;&lt;key app="EN" db-id="wtx9x9fxza9rpfetafo5axztvavvdtzzx55d" timestamp="1588352763" guid="196b6ea5-761c-4614-a6e9-36b0b8635b75"&gt;174&lt;/key&gt;&lt;/foreign-keys&gt;&lt;ref-type name="Book"&gt;6&lt;/ref-type&gt;&lt;contributors&gt;&lt;authors&gt;&lt;author&gt;Medina, José&lt;/author&gt;&lt;/authors&gt;&lt;/contributors&gt;&lt;titles&gt;&lt;title&gt;The epistemology of resistance: Gender and racial oppression, epistemic injustice, and the social imagination&lt;/title&gt;&lt;/titles&gt;&lt;dates&gt;&lt;year&gt;2013&lt;/year&gt;&lt;/dates&gt;&lt;publisher&gt;Oxford University Press&lt;/publisher&gt;&lt;isbn&gt;0199929025&lt;/isbn&gt;&lt;urls&gt;&lt;/urls&gt;&lt;/record&gt;&lt;/Cite&gt;&lt;/EndNote&gt;</w:instrText>
      </w:r>
      <w:r>
        <w:fldChar w:fldCharType="separate"/>
      </w:r>
      <w:r>
        <w:rPr>
          <w:noProof/>
        </w:rPr>
        <w:t>(</w:t>
      </w:r>
      <w:hyperlink w:anchor="_ENREF_34" w:tooltip="Medina, 2013 #174" w:history="1">
        <w:r>
          <w:rPr>
            <w:noProof/>
          </w:rPr>
          <w:t>Medina, 2013</w:t>
        </w:r>
      </w:hyperlink>
      <w:r>
        <w:rPr>
          <w:noProof/>
        </w:rPr>
        <w:t>)</w:t>
      </w:r>
      <w:r>
        <w:fldChar w:fldCharType="end"/>
      </w:r>
    </w:p>
  </w:footnote>
  <w:footnote w:id="41">
    <w:p w14:paraId="65DA94D6" w14:textId="77777777" w:rsidR="00EC612A" w:rsidRDefault="00EC612A" w:rsidP="00EC612A">
      <w:pPr>
        <w:pStyle w:val="Footnote"/>
      </w:pPr>
      <w:r>
        <w:rPr>
          <w:vertAlign w:val="superscript"/>
        </w:rPr>
        <w:footnoteRef/>
      </w:r>
      <w:r>
        <w:t xml:space="preserve"> </w:t>
      </w:r>
      <w:r>
        <w:fldChar w:fldCharType="begin"/>
      </w:r>
      <w:r>
        <w:instrText xml:space="preserve"> ADDIN EN.CITE &lt;EndNote&gt;&lt;Cite&gt;&lt;Author&gt;Lynch&lt;/Author&gt;&lt;Year&gt;2016&lt;/Year&gt;&lt;RecNum&gt;205&lt;/RecNum&gt;&lt;DisplayText&gt;(Lynch, 2016)&lt;/DisplayText&gt;&lt;record&gt;&lt;rec-number&gt;205&lt;/rec-number&gt;&lt;foreign-keys&gt;&lt;key app="EN" db-id="wtx9x9fxza9rpfetafo5axztvavvdtzzx55d" timestamp="1592840850" guid="16ed14b0-9b52-48c7-91da-2a892d7473da"&gt;205&lt;/key&gt;&lt;/foreign-keys&gt;&lt;ref-type name="Journal Article"&gt;17&lt;/ref-type&gt;&lt;contributors&gt;&lt;authors&gt;&lt;author&gt;Lynch, Kevin&lt;/author&gt;&lt;/authors&gt;&lt;/contributors&gt;&lt;titles&gt;&lt;title&gt;Willful ignorance and self-deception&lt;/title&gt;&lt;secondary-title&gt;Philosophical Studies&lt;/secondary-title&gt;&lt;/titles&gt;&lt;periodical&gt;&lt;full-title&gt;Philosophical Studies&lt;/full-title&gt;&lt;/periodical&gt;&lt;pages&gt;505-523&lt;/pages&gt;&lt;volume&gt;173&lt;/volume&gt;&lt;number&gt;2&lt;/number&gt;&lt;dates&gt;&lt;year&gt;2016&lt;/year&gt;&lt;/dates&gt;&lt;isbn&gt;0031-8116&lt;/isbn&gt;&lt;urls&gt;&lt;/urls&gt;&lt;/record&gt;&lt;/Cite&gt;&lt;/EndNote&gt;</w:instrText>
      </w:r>
      <w:r>
        <w:fldChar w:fldCharType="separate"/>
      </w:r>
      <w:r>
        <w:rPr>
          <w:noProof/>
        </w:rPr>
        <w:t>(</w:t>
      </w:r>
      <w:hyperlink w:anchor="_ENREF_32" w:tooltip="Lynch, 2016 #205" w:history="1">
        <w:r>
          <w:rPr>
            <w:noProof/>
          </w:rPr>
          <w:t>Lynch, 2016</w:t>
        </w:r>
      </w:hyperlink>
      <w:r>
        <w:rPr>
          <w:noProof/>
        </w:rPr>
        <w:t>)</w:t>
      </w:r>
      <w:r>
        <w:fldChar w:fldCharType="end"/>
      </w:r>
      <w:r>
        <w:t xml:space="preserve">, </w:t>
      </w:r>
      <w:r>
        <w:fldChar w:fldCharType="begin"/>
      </w:r>
      <w:r>
        <w:instrText xml:space="preserve"> ADDIN EN.CITE &lt;EndNote&gt;&lt;Cite&gt;&lt;Author&gt;Wieland&lt;/Author&gt;&lt;Year&gt;2017&lt;/Year&gt;&lt;RecNum&gt;202&lt;/RecNum&gt;&lt;DisplayText&gt;(Wieland, 2017)&lt;/DisplayText&gt;&lt;record&gt;&lt;rec-number&gt;202&lt;/rec-number&gt;&lt;foreign-keys&gt;&lt;key app="EN" db-id="wtx9x9fxza9rpfetafo5axztvavvdtzzx55d" timestamp="1592840813" guid="b5c7fcdf-7118-4c49-a67e-b326b7f7b6f3"&gt;202&lt;/key&gt;&lt;/foreign-keys&gt;&lt;ref-type name="Journal Article"&gt;17&lt;/ref-type&gt;&lt;contributors&gt;&lt;authors&gt;&lt;author&gt;Wieland, Jan Willem&lt;/author&gt;&lt;/authors&gt;&lt;/contributors&gt;&lt;titles&gt;&lt;title&gt;Willful ignorance&lt;/title&gt;&lt;secondary-title&gt;Ethical Theory and Moral Practice&lt;/secondary-title&gt;&lt;/titles&gt;&lt;periodical&gt;&lt;full-title&gt;Ethical Theory and Moral Practice&lt;/full-title&gt;&lt;/periodical&gt;&lt;pages&gt;105-119&lt;/pages&gt;&lt;volume&gt;20&lt;/volume&gt;&lt;number&gt;1&lt;/number&gt;&lt;dates&gt;&lt;year&gt;2017&lt;/year&gt;&lt;/dates&gt;&lt;isbn&gt;1386-2820&lt;/isbn&gt;&lt;urls&gt;&lt;/urls&gt;&lt;/record&gt;&lt;/Cite&gt;&lt;/EndNote&gt;</w:instrText>
      </w:r>
      <w:r>
        <w:fldChar w:fldCharType="separate"/>
      </w:r>
      <w:r>
        <w:rPr>
          <w:noProof/>
        </w:rPr>
        <w:t>(</w:t>
      </w:r>
      <w:hyperlink w:anchor="_ENREF_53" w:tooltip="Wieland, 2017 #202" w:history="1">
        <w:r>
          <w:rPr>
            <w:noProof/>
          </w:rPr>
          <w:t>Wieland, 2017</w:t>
        </w:r>
      </w:hyperlink>
      <w:r>
        <w:rPr>
          <w:noProof/>
        </w:rPr>
        <w:t>)</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A78E" w14:textId="276854BD" w:rsidR="00EC612A" w:rsidRDefault="00EC612A">
    <w:pPr>
      <w:jc w:val="right"/>
      <w:rPr>
        <w:rFonts w:ascii="TimesNewRomanPSMT" w:hAnsi="TimesNewRomanPSMT" w:cs="TimesNewRomanPSMT"/>
        <w:sz w:val="24"/>
        <w:szCs w:val="24"/>
      </w:rPr>
    </w:pPr>
    <w:r>
      <w:rPr>
        <w:rFonts w:ascii="TimesNewRomanPSMT" w:hAnsi="TimesNewRomanPSMT" w:cs="TimesNewRomanPSMT"/>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x9x9fxza9rpfetafo5axztvavvdtzzx55d&quot;&gt;My EndNote Library-Converted&lt;record-ids&gt;&lt;item&gt;63&lt;/item&gt;&lt;item&gt;69&lt;/item&gt;&lt;item&gt;71&lt;/item&gt;&lt;item&gt;85&lt;/item&gt;&lt;item&gt;90&lt;/item&gt;&lt;item&gt;91&lt;/item&gt;&lt;item&gt;93&lt;/item&gt;&lt;item&gt;104&lt;/item&gt;&lt;item&gt;123&lt;/item&gt;&lt;item&gt;139&lt;/item&gt;&lt;item&gt;174&lt;/item&gt;&lt;item&gt;175&lt;/item&gt;&lt;item&gt;178&lt;/item&gt;&lt;item&gt;185&lt;/item&gt;&lt;item&gt;186&lt;/item&gt;&lt;item&gt;192&lt;/item&gt;&lt;item&gt;193&lt;/item&gt;&lt;item&gt;194&lt;/item&gt;&lt;item&gt;195&lt;/item&gt;&lt;item&gt;196&lt;/item&gt;&lt;item&gt;197&lt;/item&gt;&lt;item&gt;198&lt;/item&gt;&lt;item&gt;200&lt;/item&gt;&lt;item&gt;202&lt;/item&gt;&lt;item&gt;203&lt;/item&gt;&lt;item&gt;204&lt;/item&gt;&lt;item&gt;205&lt;/item&gt;&lt;item&gt;206&lt;/item&gt;&lt;item&gt;207&lt;/item&gt;&lt;item&gt;209&lt;/item&gt;&lt;item&gt;210&lt;/item&gt;&lt;item&gt;211&lt;/item&gt;&lt;item&gt;212&lt;/item&gt;&lt;item&gt;213&lt;/item&gt;&lt;item&gt;214&lt;/item&gt;&lt;item&gt;215&lt;/item&gt;&lt;item&gt;217&lt;/item&gt;&lt;item&gt;218&lt;/item&gt;&lt;item&gt;221&lt;/item&gt;&lt;item&gt;222&lt;/item&gt;&lt;item&gt;223&lt;/item&gt;&lt;item&gt;224&lt;/item&gt;&lt;item&gt;226&lt;/item&gt;&lt;item&gt;228&lt;/item&gt;&lt;item&gt;229&lt;/item&gt;&lt;item&gt;230&lt;/item&gt;&lt;item&gt;231&lt;/item&gt;&lt;item&gt;232&lt;/item&gt;&lt;item&gt;233&lt;/item&gt;&lt;item&gt;234&lt;/item&gt;&lt;item&gt;236&lt;/item&gt;&lt;item&gt;237&lt;/item&gt;&lt;item&gt;263&lt;/item&gt;&lt;item&gt;268&lt;/item&gt;&lt;item&gt;269&lt;/item&gt;&lt;item&gt;276&lt;/item&gt;&lt;item&gt;277&lt;/item&gt;&lt;/record-ids&gt;&lt;/item&gt;&lt;/Libraries&gt;"/>
  </w:docVars>
  <w:rsids>
    <w:rsidRoot w:val="00D567D5"/>
    <w:rsid w:val="000475AD"/>
    <w:rsid w:val="00066558"/>
    <w:rsid w:val="00466BFA"/>
    <w:rsid w:val="004A21C4"/>
    <w:rsid w:val="004C162B"/>
    <w:rsid w:val="004C57BD"/>
    <w:rsid w:val="005C37A6"/>
    <w:rsid w:val="005F7717"/>
    <w:rsid w:val="007D5F22"/>
    <w:rsid w:val="00934679"/>
    <w:rsid w:val="00945371"/>
    <w:rsid w:val="00AF0FC3"/>
    <w:rsid w:val="00BD2299"/>
    <w:rsid w:val="00D567D5"/>
    <w:rsid w:val="00EC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46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NewRomanPSMT"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paragraph" w:styleId="Heading1">
    <w:name w:val="heading 1"/>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C612A"/>
    <w:pPr>
      <w:widowControl w:val="0"/>
      <w:autoSpaceDE w:val="0"/>
      <w:autoSpaceDN w:val="0"/>
      <w:adjustRightInd w:val="0"/>
    </w:pPr>
    <w:rPr>
      <w:rFonts w:ascii="Book Antiqua" w:hAnsi="Book Antiqua"/>
      <w:sz w:val="22"/>
    </w:rPr>
  </w:style>
  <w:style w:type="paragraph" w:customStyle="1" w:styleId="EndNoteBibliographyTitle">
    <w:name w:val="EndNote Bibliography Title"/>
    <w:basedOn w:val="Normal"/>
    <w:rsid w:val="005F7717"/>
    <w:pPr>
      <w:jc w:val="center"/>
    </w:pPr>
    <w:rPr>
      <w:rFonts w:ascii="Calibri" w:hAnsi="Calibri"/>
      <w:sz w:val="36"/>
    </w:rPr>
  </w:style>
  <w:style w:type="paragraph" w:customStyle="1" w:styleId="EndNoteBibliography">
    <w:name w:val="EndNote Bibliography"/>
    <w:basedOn w:val="Normal"/>
    <w:rsid w:val="005F7717"/>
    <w:rPr>
      <w:rFonts w:ascii="Calibri" w:hAnsi="Calibri"/>
      <w:sz w:val="36"/>
    </w:rPr>
  </w:style>
  <w:style w:type="character" w:styleId="Hyperlink">
    <w:name w:val="Hyperlink"/>
    <w:basedOn w:val="DefaultParagraphFont"/>
    <w:uiPriority w:val="99"/>
    <w:unhideWhenUsed/>
    <w:rsid w:val="005F7717"/>
    <w:rPr>
      <w:color w:val="0000FF" w:themeColor="hyperlink"/>
      <w:u w:val="single"/>
    </w:rPr>
  </w:style>
  <w:style w:type="paragraph" w:styleId="Header">
    <w:name w:val="header"/>
    <w:basedOn w:val="Normal"/>
    <w:link w:val="HeaderChar"/>
    <w:uiPriority w:val="99"/>
    <w:unhideWhenUsed/>
    <w:rsid w:val="004C57BD"/>
    <w:pPr>
      <w:tabs>
        <w:tab w:val="center" w:pos="4320"/>
        <w:tab w:val="right" w:pos="8640"/>
      </w:tabs>
    </w:pPr>
  </w:style>
  <w:style w:type="character" w:customStyle="1" w:styleId="HeaderChar">
    <w:name w:val="Header Char"/>
    <w:basedOn w:val="DefaultParagraphFont"/>
    <w:link w:val="Header"/>
    <w:uiPriority w:val="99"/>
    <w:rsid w:val="004C57BD"/>
  </w:style>
  <w:style w:type="paragraph" w:styleId="Footer">
    <w:name w:val="footer"/>
    <w:basedOn w:val="Normal"/>
    <w:link w:val="FooterChar"/>
    <w:uiPriority w:val="99"/>
    <w:unhideWhenUsed/>
    <w:rsid w:val="004C57BD"/>
    <w:pPr>
      <w:tabs>
        <w:tab w:val="center" w:pos="4320"/>
        <w:tab w:val="right" w:pos="8640"/>
      </w:tabs>
    </w:pPr>
  </w:style>
  <w:style w:type="character" w:customStyle="1" w:styleId="FooterChar">
    <w:name w:val="Footer Char"/>
    <w:basedOn w:val="DefaultParagraphFont"/>
    <w:link w:val="Footer"/>
    <w:uiPriority w:val="99"/>
    <w:rsid w:val="004C57BD"/>
  </w:style>
  <w:style w:type="character" w:styleId="PageNumber">
    <w:name w:val="page number"/>
    <w:basedOn w:val="DefaultParagraphFont"/>
    <w:uiPriority w:val="99"/>
    <w:semiHidden/>
    <w:unhideWhenUsed/>
    <w:rsid w:val="004C57BD"/>
  </w:style>
  <w:style w:type="paragraph" w:styleId="BalloonText">
    <w:name w:val="Balloon Text"/>
    <w:basedOn w:val="Normal"/>
    <w:link w:val="BalloonTextChar"/>
    <w:uiPriority w:val="99"/>
    <w:semiHidden/>
    <w:unhideWhenUsed/>
    <w:rsid w:val="00466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B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NewRomanPSMT"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paragraph" w:styleId="Heading1">
    <w:name w:val="heading 1"/>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C612A"/>
    <w:pPr>
      <w:widowControl w:val="0"/>
      <w:autoSpaceDE w:val="0"/>
      <w:autoSpaceDN w:val="0"/>
      <w:adjustRightInd w:val="0"/>
    </w:pPr>
    <w:rPr>
      <w:rFonts w:ascii="Book Antiqua" w:hAnsi="Book Antiqua"/>
      <w:sz w:val="22"/>
    </w:rPr>
  </w:style>
  <w:style w:type="paragraph" w:customStyle="1" w:styleId="EndNoteBibliographyTitle">
    <w:name w:val="EndNote Bibliography Title"/>
    <w:basedOn w:val="Normal"/>
    <w:rsid w:val="005F7717"/>
    <w:pPr>
      <w:jc w:val="center"/>
    </w:pPr>
    <w:rPr>
      <w:rFonts w:ascii="Calibri" w:hAnsi="Calibri"/>
      <w:sz w:val="36"/>
    </w:rPr>
  </w:style>
  <w:style w:type="paragraph" w:customStyle="1" w:styleId="EndNoteBibliography">
    <w:name w:val="EndNote Bibliography"/>
    <w:basedOn w:val="Normal"/>
    <w:rsid w:val="005F7717"/>
    <w:rPr>
      <w:rFonts w:ascii="Calibri" w:hAnsi="Calibri"/>
      <w:sz w:val="36"/>
    </w:rPr>
  </w:style>
  <w:style w:type="character" w:styleId="Hyperlink">
    <w:name w:val="Hyperlink"/>
    <w:basedOn w:val="DefaultParagraphFont"/>
    <w:uiPriority w:val="99"/>
    <w:unhideWhenUsed/>
    <w:rsid w:val="005F7717"/>
    <w:rPr>
      <w:color w:val="0000FF" w:themeColor="hyperlink"/>
      <w:u w:val="single"/>
    </w:rPr>
  </w:style>
  <w:style w:type="paragraph" w:styleId="Header">
    <w:name w:val="header"/>
    <w:basedOn w:val="Normal"/>
    <w:link w:val="HeaderChar"/>
    <w:uiPriority w:val="99"/>
    <w:unhideWhenUsed/>
    <w:rsid w:val="004C57BD"/>
    <w:pPr>
      <w:tabs>
        <w:tab w:val="center" w:pos="4320"/>
        <w:tab w:val="right" w:pos="8640"/>
      </w:tabs>
    </w:pPr>
  </w:style>
  <w:style w:type="character" w:customStyle="1" w:styleId="HeaderChar">
    <w:name w:val="Header Char"/>
    <w:basedOn w:val="DefaultParagraphFont"/>
    <w:link w:val="Header"/>
    <w:uiPriority w:val="99"/>
    <w:rsid w:val="004C57BD"/>
  </w:style>
  <w:style w:type="paragraph" w:styleId="Footer">
    <w:name w:val="footer"/>
    <w:basedOn w:val="Normal"/>
    <w:link w:val="FooterChar"/>
    <w:uiPriority w:val="99"/>
    <w:unhideWhenUsed/>
    <w:rsid w:val="004C57BD"/>
    <w:pPr>
      <w:tabs>
        <w:tab w:val="center" w:pos="4320"/>
        <w:tab w:val="right" w:pos="8640"/>
      </w:tabs>
    </w:pPr>
  </w:style>
  <w:style w:type="character" w:customStyle="1" w:styleId="FooterChar">
    <w:name w:val="Footer Char"/>
    <w:basedOn w:val="DefaultParagraphFont"/>
    <w:link w:val="Footer"/>
    <w:uiPriority w:val="99"/>
    <w:rsid w:val="004C57BD"/>
  </w:style>
  <w:style w:type="character" w:styleId="PageNumber">
    <w:name w:val="page number"/>
    <w:basedOn w:val="DefaultParagraphFont"/>
    <w:uiPriority w:val="99"/>
    <w:semiHidden/>
    <w:unhideWhenUsed/>
    <w:rsid w:val="004C57BD"/>
  </w:style>
  <w:style w:type="paragraph" w:styleId="BalloonText">
    <w:name w:val="Balloon Text"/>
    <w:basedOn w:val="Normal"/>
    <w:link w:val="BalloonTextChar"/>
    <w:uiPriority w:val="99"/>
    <w:semiHidden/>
    <w:unhideWhenUsed/>
    <w:rsid w:val="00466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B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9290</Words>
  <Characters>52957</Characters>
  <Application>Microsoft Macintosh Word</Application>
  <DocSecurity>0</DocSecurity>
  <Lines>441</Lines>
  <Paragraphs>124</Paragraphs>
  <ScaleCrop>false</ScaleCrop>
  <Company/>
  <LinksUpToDate>false</LinksUpToDate>
  <CharactersWithSpaces>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WhiteIgnorance</dc:title>
  <dc:creator>Annette Martin</dc:creator>
  <cp:lastModifiedBy>Annette Martín</cp:lastModifiedBy>
  <cp:revision>8</cp:revision>
  <cp:lastPrinted>2020-09-10T19:51:00Z</cp:lastPrinted>
  <dcterms:created xsi:type="dcterms:W3CDTF">2020-09-10T19:51:00Z</dcterms:created>
  <dcterms:modified xsi:type="dcterms:W3CDTF">2020-10-13T20:57:00Z</dcterms:modified>
</cp:coreProperties>
</file>